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gwek2"/>
        <w:numPr>
          <w:ilvl w:val="0"/>
          <w:numId w:val="0"/>
        </w:numPr>
        <w:spacing w:lineRule="auto" w:line="480" w:before="360" w:after="120"/>
        <w:ind w:left="788" w:hanging="431"/>
        <w:rPr>
          <w:rFonts w:eastAsia="Calibri" w:cs="Times New Roman"/>
          <w:b w:val="false"/>
          <w:b w:val="false"/>
          <w:bCs w:val="false"/>
          <w:sz w:val="28"/>
          <w:szCs w:val="28"/>
        </w:rPr>
      </w:pPr>
      <w:r>
        <w:rPr>
          <w:rFonts w:eastAsia="Calibri" w:cs="Times New Roman"/>
          <w:b w:val="false"/>
          <w:bCs w:val="false"/>
          <w:sz w:val="28"/>
          <w:szCs w:val="28"/>
        </w:rPr>
        <w:t>Jacek Goleń, Florence Kabala, Jan Kobak</w:t>
      </w:r>
    </w:p>
    <w:p>
      <w:pPr>
        <w:pStyle w:val="Nagwek2"/>
        <w:numPr>
          <w:ilvl w:val="0"/>
          <w:numId w:val="0"/>
        </w:numPr>
        <w:spacing w:before="0" w:after="0"/>
        <w:ind w:left="788" w:hanging="431"/>
        <w:rPr>
          <w:rFonts w:eastAsia="Calibri" w:cs="Times New Roman"/>
          <w:sz w:val="28"/>
          <w:szCs w:val="28"/>
        </w:rPr>
      </w:pPr>
      <w:r>
        <w:rPr>
          <w:rFonts w:eastAsia="Calibri" w:cs="Times New Roman"/>
          <w:sz w:val="28"/>
          <w:szCs w:val="28"/>
        </w:rPr>
        <w:t>Wyniki badań dotyczące korelacji między religijnością a rozumieniem seksualności i małżeństwa przez wybraną grupę katolików z Kenii</w:t>
      </w:r>
    </w:p>
    <w:p>
      <w:pPr>
        <w:pStyle w:val="Normal"/>
        <w:rPr/>
      </w:pPr>
      <w:r>
        <w:rPr/>
      </w:r>
      <w:bookmarkStart w:id="0" w:name="_Toc92184478"/>
      <w:bookmarkStart w:id="1" w:name="_Toc92184478"/>
      <w:bookmarkEnd w:id="1"/>
    </w:p>
    <w:p>
      <w:pPr>
        <w:pStyle w:val="Normal"/>
        <w:rPr>
          <w:rFonts w:cs="Times New Roman"/>
        </w:rPr>
      </w:pPr>
      <w:r>
        <w:rPr>
          <w:rFonts w:cs="Times New Roman"/>
        </w:rPr>
        <w:t>Analiza wyników została wykonana z użyciem oprogramowania Excel 2016 oraz Statistica 13. Rezultaty jakościowe przedstawiano jako wielkość grupy (n) oraz procentową część grupy (%). Dane ilościowe (ocena punktowa odpowiedzi) przedstawiono za pomocą metod statystyki opisowej jako: średnia z odchyleniem standardowym (</w:t>
      </w:r>
      <w:r>
        <w:rPr/>
      </w:r>
      <m:oMath xmlns:m="http://schemas.openxmlformats.org/officeDocument/2006/math">
        <m:bar>
          <m:barPr>
            <m:pos m:val="top"/>
          </m:barPr>
          <m:e>
            <m:r>
              <w:rPr>
                <w:rFonts w:ascii="Cambria Math" w:hAnsi="Cambria Math"/>
              </w:rPr>
              <m:t xml:space="preserve">x</m:t>
            </m:r>
          </m:e>
        </m:bar>
      </m:oMath>
      <w:r>
        <w:rPr>
          <w:rFonts w:cs="Times New Roman"/>
        </w:rPr>
        <w:t xml:space="preserve"> ± SD). Do tego wykorzystano miary położenia takie jak: mediana – Me. Żaden z parametrów nie miał cech rozkładu normalnego, co zostało potwierdzone za pomocą testu Shapiro-Wilka. Zgodność i rzetelność itemów oceniono za pomocą testu Alfa Cronbacha. Do porównań wyników między itemami oraz zmiennymi ze skali Hubera wykorzystano test korelacji rang Spearmana. Interpretację wyników wskaźnika korelacji przedstawiono w tabeli 1. Za istotne różnice między porównywanymi grupami uznawano te parametry, dla których wartość p&lt;0,05.</w:t>
      </w:r>
    </w:p>
    <w:p>
      <w:pPr>
        <w:pStyle w:val="Normal"/>
        <w:rPr/>
      </w:pPr>
      <w:r>
        <w:rPr/>
      </w:r>
      <w:bookmarkStart w:id="2" w:name="_Toc477554452"/>
      <w:bookmarkStart w:id="3" w:name="_Toc478641677"/>
      <w:bookmarkStart w:id="4" w:name="_Toc478896169"/>
      <w:bookmarkStart w:id="5" w:name="_Toc477554452"/>
      <w:bookmarkStart w:id="6" w:name="_Toc478641677"/>
      <w:bookmarkStart w:id="7" w:name="_Toc478896169"/>
    </w:p>
    <w:p>
      <w:pPr>
        <w:pStyle w:val="Caption"/>
        <w:rPr>
          <w:rFonts w:cs="Times New Roman"/>
        </w:rPr>
      </w:pPr>
      <w:bookmarkStart w:id="8" w:name="_Toc92184450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1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Określenie współczynnika korelacji w stosunku do siły związku</w:t>
      </w:r>
      <w:bookmarkEnd w:id="5"/>
      <w:bookmarkEnd w:id="6"/>
      <w:bookmarkEnd w:id="7"/>
      <w:bookmarkEnd w:id="8"/>
    </w:p>
    <w:tbl>
      <w:tblPr>
        <w:tblStyle w:val="Tabela-Siatka"/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31"/>
        <w:gridCol w:w="5105"/>
      </w:tblGrid>
      <w:tr>
        <w:trPr>
          <w:trHeight w:val="397" w:hRule="atLeast"/>
        </w:trPr>
        <w:tc>
          <w:tcPr>
            <w:tcW w:w="4531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Współczynnik korelacji</w:t>
            </w:r>
          </w:p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R</w:t>
            </w:r>
          </w:p>
        </w:tc>
        <w:tc>
          <w:tcPr>
            <w:tcW w:w="5105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Siła związku korelacyjnego</w:t>
            </w:r>
          </w:p>
        </w:tc>
      </w:tr>
      <w:tr>
        <w:trPr>
          <w:trHeight w:val="397" w:hRule="atLeast"/>
        </w:trPr>
        <w:tc>
          <w:tcPr>
            <w:tcW w:w="4531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0.0 - 0.3</w:t>
            </w:r>
          </w:p>
        </w:tc>
        <w:tc>
          <w:tcPr>
            <w:tcW w:w="5105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brak</w:t>
            </w:r>
          </w:p>
        </w:tc>
      </w:tr>
      <w:tr>
        <w:trPr>
          <w:trHeight w:val="397" w:hRule="atLeast"/>
        </w:trPr>
        <w:tc>
          <w:tcPr>
            <w:tcW w:w="4531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0.3 - 0.4</w:t>
            </w:r>
          </w:p>
        </w:tc>
        <w:tc>
          <w:tcPr>
            <w:tcW w:w="5105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słaba</w:t>
            </w:r>
          </w:p>
        </w:tc>
      </w:tr>
      <w:tr>
        <w:trPr>
          <w:trHeight w:val="397" w:hRule="atLeast"/>
        </w:trPr>
        <w:tc>
          <w:tcPr>
            <w:tcW w:w="4531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0.4 - 0.7</w:t>
            </w:r>
          </w:p>
        </w:tc>
        <w:tc>
          <w:tcPr>
            <w:tcW w:w="5105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średnia</w:t>
            </w:r>
          </w:p>
        </w:tc>
      </w:tr>
      <w:tr>
        <w:trPr>
          <w:trHeight w:val="397" w:hRule="atLeast"/>
        </w:trPr>
        <w:tc>
          <w:tcPr>
            <w:tcW w:w="4531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0.7 - 0.9</w:t>
            </w:r>
          </w:p>
        </w:tc>
        <w:tc>
          <w:tcPr>
            <w:tcW w:w="5105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silna</w:t>
            </w:r>
          </w:p>
        </w:tc>
      </w:tr>
      <w:tr>
        <w:trPr>
          <w:trHeight w:val="397" w:hRule="atLeast"/>
        </w:trPr>
        <w:tc>
          <w:tcPr>
            <w:tcW w:w="4531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0.9 - 1.0</w:t>
            </w:r>
          </w:p>
        </w:tc>
        <w:tc>
          <w:tcPr>
            <w:tcW w:w="5105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eastAsia="Calibri" w:cs=""/>
                <w:kern w:val="0"/>
                <w:szCs w:val="22"/>
                <w:lang w:val="pl-PL" w:eastAsia="en-US" w:bidi="ar-SA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bardzo silna</w:t>
            </w:r>
          </w:p>
        </w:tc>
      </w:tr>
    </w:tbl>
    <w:p>
      <w:pPr>
        <w:sectPr>
          <w:footerReference w:type="default" r:id="rId2"/>
          <w:type w:val="nextPage"/>
          <w:pgSz w:w="11906" w:h="16838"/>
          <w:pgMar w:left="1418" w:right="851" w:gutter="0" w:header="0" w:top="1418" w:footer="709" w:bottom="1418"/>
          <w:pgNumType w:fmt="decimal"/>
          <w:formProt w:val="false"/>
          <w:textDirection w:val="lrTb"/>
          <w:docGrid w:type="default" w:linePitch="360" w:charSpace="0"/>
        </w:sectPr>
      </w:pPr>
    </w:p>
    <w:p>
      <w:pPr>
        <w:pStyle w:val="Nagwek1"/>
        <w:numPr>
          <w:ilvl w:val="0"/>
          <w:numId w:val="0"/>
        </w:numPr>
        <w:ind w:left="360" w:hanging="360"/>
        <w:rPr>
          <w:rFonts w:cs="Times New Roman"/>
          <w:caps w:val="false"/>
          <w:smallCaps w:val="false"/>
        </w:rPr>
      </w:pPr>
      <w:bookmarkStart w:id="9" w:name="_Toc92184479"/>
      <w:r>
        <w:rPr>
          <w:rFonts w:cs="Times New Roman"/>
          <w:caps w:val="false"/>
          <w:smallCaps w:val="false"/>
        </w:rPr>
        <w:t>WYNIKI BADAŃ</w:t>
      </w:r>
      <w:bookmarkEnd w:id="9"/>
    </w:p>
    <w:p>
      <w:pPr>
        <w:pStyle w:val="Nagwek2"/>
        <w:numPr>
          <w:ilvl w:val="1"/>
          <w:numId w:val="2"/>
        </w:numPr>
        <w:ind w:left="788" w:hanging="431"/>
        <w:rPr>
          <w:rFonts w:cs="Times New Roman"/>
        </w:rPr>
      </w:pPr>
      <w:bookmarkStart w:id="10" w:name="_Toc92184480"/>
      <w:r>
        <w:rPr/>
        <w:t>Skala Hubera</w:t>
      </w:r>
      <w:bookmarkEnd w:id="10"/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11" w:name="_Toc92184451"/>
      <w:r>
        <w:rPr/>
        <w:t xml:space="preserve">Tab. </w:t>
      </w:r>
      <w:r>
        <w:rPr/>
        <w:fldChar w:fldCharType="begin"/>
      </w:r>
      <w:r>
        <w:rPr/>
        <w:instrText> SEQ Tab. \* ARABIC </w:instrText>
      </w:r>
      <w:r>
        <w:rPr/>
        <w:fldChar w:fldCharType="separate"/>
      </w:r>
      <w:r>
        <w:rPr/>
        <w:t>2</w:t>
      </w:r>
      <w:r>
        <w:rPr/>
        <w:fldChar w:fldCharType="end"/>
      </w:r>
      <w:r>
        <w:rPr/>
        <w:t>.</w:t>
        <w:tab/>
        <w:t>Wyniki liczbowo procentowe odpowiedzi ankietowanych – skala Hubera</w:t>
      </w:r>
      <w:bookmarkEnd w:id="11"/>
      <w:r>
        <w:rPr/>
        <w:t xml:space="preserve"> 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3029"/>
        <w:gridCol w:w="459"/>
        <w:gridCol w:w="460"/>
        <w:gridCol w:w="462"/>
        <w:gridCol w:w="460"/>
        <w:gridCol w:w="460"/>
        <w:gridCol w:w="460"/>
        <w:gridCol w:w="459"/>
        <w:gridCol w:w="461"/>
        <w:gridCol w:w="459"/>
        <w:gridCol w:w="461"/>
        <w:gridCol w:w="482"/>
        <w:gridCol w:w="480"/>
        <w:gridCol w:w="479"/>
      </w:tblGrid>
      <w:tr>
        <w:trPr>
          <w:trHeight w:val="340" w:hRule="atLeast"/>
        </w:trPr>
        <w:tc>
          <w:tcPr>
            <w:tcW w:w="30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Skala Hubera</w:t>
            </w:r>
          </w:p>
        </w:tc>
        <w:tc>
          <w:tcPr>
            <w:tcW w:w="9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punktacja 1</w:t>
            </w:r>
          </w:p>
        </w:tc>
        <w:tc>
          <w:tcPr>
            <w:tcW w:w="9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punktacja 2</w:t>
            </w:r>
          </w:p>
        </w:tc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punktacja 3</w:t>
            </w:r>
          </w:p>
        </w:tc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punktacja 4</w:t>
            </w:r>
          </w:p>
        </w:tc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punktacja 5</w:t>
            </w:r>
          </w:p>
        </w:tc>
        <w:tc>
          <w:tcPr>
            <w:tcW w:w="14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Stat opisowa</w:t>
            </w:r>
          </w:p>
        </w:tc>
      </w:tr>
      <w:tr>
        <w:trPr>
          <w:trHeight w:val="340" w:hRule="atLeast"/>
        </w:trPr>
        <w:tc>
          <w:tcPr>
            <w:tcW w:w="302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rFonts w:cs="Times New Roman"/>
              </w:rPr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n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%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n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%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n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%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n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%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n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%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SD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Me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Jak bardzo dba Pan(i) o poszukiwanie informacji na tematy religijne?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36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23,1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26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16,7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90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57,6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4,29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0,91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Jak ważna jest dla Pana/i modlitwa osobista?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128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82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4,72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0,66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Jak bardzo jest Pan(i) przekonany/przekonana, że Bóg rzeczywiście istnieje i że nie jest tylko ludzkim wymysłem?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10,3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10,3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124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79,4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4,69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0,65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Jak ważny jest dla Pana/i udział w nabożeństwach kościelnych?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10,3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15,4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114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73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4,60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0,73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Jak silna jest Pana/i wiara w życie po śmierci?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11,5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12,8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114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73,1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4,56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0,80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Jak ważna jest dla Pana/i więź ze wspólnotą religijną?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25,6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102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65,4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4,56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0,66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Jak silna jest Pana/i wiara w istnienie Boga?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140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89,8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4,85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0,49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Czy myśli Pan(i) o sprawach religijnych?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11,5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68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43,6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68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43,6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4,29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0,72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Czy doświadcza Pan(i) sytuacji, w których czuje Pan(i) obecność Boga?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16,7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25,6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90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57,7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4,41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0,76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Czy w ciągu tygodnia kieruje Pan(i) krótkie modlitwy do Boga?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16,7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32,1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74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47,4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4,23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0,87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Czy doświadcza Pan(i) sytuacji, w których czuje Pan(i), że Bóg chce Panu/i coś powiedzieć?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38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24,4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72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46,2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25,6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3,95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0,81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Czy poszukuje Pan(i) informacji na tematy religijne w radiu, telewizji, gazetach lub książkach?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54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34,6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28,2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32,1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3,88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0,93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Czy doświadcza Pan(i) sytuacji, w których czuje Pan(i), że Bóg interweniuje w Pana/i życiu?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17,9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34,6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74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47,5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4,29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0,76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Jak często, z reguły, uczestniczy Pan(i) w nabożeństwach kościelnych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12,8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122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78,2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4,41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1,19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  <w:tr>
        <w:trPr>
          <w:trHeight w:val="340" w:hRule="atLeast"/>
        </w:trPr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Jak często się Pan(i) zazwyczaj modli?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17,9</w:t>
            </w:r>
          </w:p>
        </w:tc>
        <w:tc>
          <w:tcPr>
            <w:tcW w:w="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114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>
                <w:color w:val="000000"/>
                <w:sz w:val="18"/>
                <w:szCs w:val="18"/>
              </w:rPr>
              <w:t>73,1</w:t>
            </w:r>
          </w:p>
        </w:tc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4,59</w:t>
            </w:r>
          </w:p>
        </w:tc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0,81</w:t>
            </w:r>
          </w:p>
        </w:tc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rFonts w:cs="Times New Roman"/>
              </w:rPr>
            </w:pPr>
            <w:r>
              <w:rPr/>
              <w:t>5</w:t>
            </w:r>
          </w:p>
        </w:tc>
      </w:tr>
    </w:tbl>
    <w:p>
      <w:pPr>
        <w:pStyle w:val="Normal"/>
        <w:spacing w:lineRule="auto" w:line="240" w:before="0" w:after="0"/>
        <w:rPr>
          <w:rFonts w:cs="Times New Roman"/>
        </w:rPr>
      </w:pPr>
      <w:r>
        <w:rPr/>
        <w:t>n – liczebność odpowiedzi; % - z całej grupy</w:t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12" w:name="_Toc92184452"/>
      <w:r>
        <w:rPr/>
        <w:t xml:space="preserve">Tab. </w:t>
      </w:r>
      <w:r>
        <w:rPr/>
        <w:fldChar w:fldCharType="begin"/>
      </w:r>
      <w:r>
        <w:rPr/>
        <w:instrText> SEQ Tab. \* ARABIC </w:instrText>
      </w:r>
      <w:r>
        <w:rPr/>
        <w:fldChar w:fldCharType="separate"/>
      </w:r>
      <w:r>
        <w:rPr/>
        <w:t>3</w:t>
      </w:r>
      <w:r>
        <w:rPr/>
        <w:fldChar w:fldCharType="end"/>
      </w:r>
      <w:r>
        <w:rPr/>
        <w:t>.</w:t>
        <w:tab/>
        <w:t>Analiza opisowa obliczonych zgodnie z kluczem składowych skali Hubera</w:t>
      </w:r>
      <w:bookmarkEnd w:id="12"/>
      <w:r>
        <w:rPr/>
        <w:t xml:space="preserve"> </w:t>
      </w:r>
    </w:p>
    <w:tbl>
      <w:tblPr>
        <w:tblStyle w:val="Tabela-Siatka"/>
        <w:tblW w:w="4050" w:type="pct"/>
        <w:jc w:val="left"/>
        <w:tblInd w:w="0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1537"/>
        <w:gridCol w:w="726"/>
        <w:gridCol w:w="724"/>
        <w:gridCol w:w="728"/>
        <w:gridCol w:w="726"/>
        <w:gridCol w:w="729"/>
        <w:gridCol w:w="726"/>
        <w:gridCol w:w="728"/>
        <w:gridCol w:w="723"/>
      </w:tblGrid>
      <w:tr>
        <w:trPr>
          <w:trHeight w:val="397" w:hRule="atLeast"/>
        </w:trPr>
        <w:tc>
          <w:tcPr>
            <w:tcW w:w="1537" w:type="dxa"/>
            <w:tcBorders/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Skala Hubera</w:t>
            </w:r>
          </w:p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 xml:space="preserve">Obliczone składowe </w:t>
            </w:r>
          </w:p>
        </w:tc>
        <w:tc>
          <w:tcPr>
            <w:tcW w:w="726" w:type="dxa"/>
            <w:tcBorders/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N</w:t>
            </w:r>
          </w:p>
        </w:tc>
        <w:tc>
          <w:tcPr>
            <w:tcW w:w="724" w:type="dxa"/>
            <w:tcBorders/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jc w:val="center"/>
              <w:rPr>
                <w:rFonts w:cs="Times New Roman"/>
              </w:rPr>
            </w:pPr>
            <w:r>
              <w:rPr/>
            </w:r>
            <m:oMathPara xmlns:m="http://schemas.openxmlformats.org/officeDocument/2006/math">
              <m:oMathParaPr>
                <m:jc m:val="center"/>
              </m:oMathParaPr>
              <m:oMath>
                <m:bar>
                  <m:barPr>
                    <m:pos m:val="top"/>
                  </m:barPr>
                  <m:e>
                    <m:r>
                      <w:rPr>
                        <w:rFonts w:ascii="Cambria Math" w:hAnsi="Cambria Math"/>
                      </w:rPr>
                      <m:t xml:space="preserve">x</m:t>
                    </m:r>
                  </m:e>
                </m:bar>
              </m:oMath>
            </m:oMathPara>
          </w:p>
        </w:tc>
        <w:tc>
          <w:tcPr>
            <w:tcW w:w="728" w:type="dxa"/>
            <w:tcBorders/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SD</w:t>
            </w:r>
          </w:p>
        </w:tc>
        <w:tc>
          <w:tcPr>
            <w:tcW w:w="726" w:type="dxa"/>
            <w:tcBorders/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Min</w:t>
            </w:r>
          </w:p>
        </w:tc>
        <w:tc>
          <w:tcPr>
            <w:tcW w:w="729" w:type="dxa"/>
            <w:tcBorders/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Q1</w:t>
            </w:r>
          </w:p>
        </w:tc>
        <w:tc>
          <w:tcPr>
            <w:tcW w:w="726" w:type="dxa"/>
            <w:tcBorders/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Me</w:t>
            </w:r>
          </w:p>
        </w:tc>
        <w:tc>
          <w:tcPr>
            <w:tcW w:w="728" w:type="dxa"/>
            <w:tcBorders/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Q3</w:t>
            </w:r>
          </w:p>
        </w:tc>
        <w:tc>
          <w:tcPr>
            <w:tcW w:w="723" w:type="dxa"/>
            <w:tcBorders/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Maks</w:t>
            </w:r>
          </w:p>
        </w:tc>
      </w:tr>
      <w:tr>
        <w:trPr>
          <w:trHeight w:val="397" w:hRule="atLeast"/>
        </w:trPr>
        <w:tc>
          <w:tcPr>
            <w:tcW w:w="1537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Zainteresowanie problematyką religijną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156</w:t>
            </w:r>
          </w:p>
        </w:tc>
        <w:tc>
          <w:tcPr>
            <w:tcW w:w="724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12,42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1,99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4</w:t>
            </w:r>
          </w:p>
        </w:tc>
        <w:tc>
          <w:tcPr>
            <w:tcW w:w="729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12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13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14</w:t>
            </w:r>
          </w:p>
        </w:tc>
        <w:tc>
          <w:tcPr>
            <w:tcW w:w="723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1537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Przekonania religijne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156</w:t>
            </w:r>
          </w:p>
        </w:tc>
        <w:tc>
          <w:tcPr>
            <w:tcW w:w="724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14,10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1,66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8</w:t>
            </w:r>
          </w:p>
        </w:tc>
        <w:tc>
          <w:tcPr>
            <w:tcW w:w="729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13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  <w:tc>
          <w:tcPr>
            <w:tcW w:w="723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1537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Modlitwa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156</w:t>
            </w:r>
          </w:p>
        </w:tc>
        <w:tc>
          <w:tcPr>
            <w:tcW w:w="724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13,54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1,70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6</w:t>
            </w:r>
          </w:p>
        </w:tc>
        <w:tc>
          <w:tcPr>
            <w:tcW w:w="729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13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14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  <w:tc>
          <w:tcPr>
            <w:tcW w:w="723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1537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Doświadczenie religijne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156</w:t>
            </w:r>
          </w:p>
        </w:tc>
        <w:tc>
          <w:tcPr>
            <w:tcW w:w="724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12,60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1,94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6</w:t>
            </w:r>
          </w:p>
        </w:tc>
        <w:tc>
          <w:tcPr>
            <w:tcW w:w="729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11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13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14</w:t>
            </w:r>
          </w:p>
        </w:tc>
        <w:tc>
          <w:tcPr>
            <w:tcW w:w="723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1537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Kult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156</w:t>
            </w:r>
          </w:p>
        </w:tc>
        <w:tc>
          <w:tcPr>
            <w:tcW w:w="724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13,58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1,94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7</w:t>
            </w:r>
          </w:p>
        </w:tc>
        <w:tc>
          <w:tcPr>
            <w:tcW w:w="729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12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  <w:tc>
          <w:tcPr>
            <w:tcW w:w="723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1537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Centralność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156</w:t>
            </w:r>
          </w:p>
        </w:tc>
        <w:tc>
          <w:tcPr>
            <w:tcW w:w="724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66,24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6,78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36</w:t>
            </w:r>
          </w:p>
        </w:tc>
        <w:tc>
          <w:tcPr>
            <w:tcW w:w="729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64</w:t>
            </w:r>
          </w:p>
        </w:tc>
        <w:tc>
          <w:tcPr>
            <w:tcW w:w="726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67</w:t>
            </w:r>
          </w:p>
        </w:tc>
        <w:tc>
          <w:tcPr>
            <w:tcW w:w="728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71</w:t>
            </w:r>
          </w:p>
        </w:tc>
        <w:tc>
          <w:tcPr>
            <w:tcW w:w="723" w:type="dxa"/>
            <w:tcBorders/>
            <w:vAlign w:val="center"/>
          </w:tcPr>
          <w:p>
            <w:pPr>
              <w:pStyle w:val="NoSpacing"/>
              <w:widowControl w:val="false"/>
              <w:suppressAutoHyphens w:val="true"/>
              <w:spacing w:before="0" w:after="0"/>
              <w:rPr>
                <w:rFonts w:cs="Times New Roman"/>
              </w:rPr>
            </w:pPr>
            <w:r>
              <w:rPr>
                <w:rFonts w:eastAsia="Calibri" w:cs=""/>
                <w:kern w:val="0"/>
                <w:szCs w:val="22"/>
                <w:lang w:val="pl-PL" w:eastAsia="en-US" w:bidi="ar-SA"/>
              </w:rPr>
              <w:t>75</w:t>
            </w:r>
          </w:p>
        </w:tc>
      </w:tr>
    </w:tbl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Nagwek2"/>
        <w:numPr>
          <w:ilvl w:val="1"/>
          <w:numId w:val="2"/>
        </w:numPr>
        <w:ind w:left="788" w:hanging="431"/>
        <w:rPr>
          <w:rFonts w:cs="Times New Roman"/>
        </w:rPr>
      </w:pPr>
      <w:bookmarkStart w:id="13" w:name="_Toc92184481"/>
      <w:r>
        <w:rPr>
          <w:rFonts w:cs="Times New Roman"/>
        </w:rPr>
        <w:t>Analiza wyników dla części I pytań z kwestionariusza autorskiego - Opinie na temat antropologii i seksualności</w:t>
      </w:r>
      <w:bookmarkEnd w:id="13"/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14" w:name="_Toc92184453"/>
      <w:r>
        <w:rPr/>
        <w:t xml:space="preserve">Tab. </w:t>
      </w:r>
      <w:r>
        <w:rPr/>
        <w:fldChar w:fldCharType="begin"/>
      </w:r>
      <w:r>
        <w:rPr/>
        <w:instrText> SEQ Tab. \* ARABIC </w:instrText>
      </w:r>
      <w:r>
        <w:rPr/>
        <w:fldChar w:fldCharType="separate"/>
      </w:r>
      <w:r>
        <w:rPr/>
        <w:t>4</w:t>
      </w:r>
      <w:r>
        <w:rPr/>
        <w:fldChar w:fldCharType="end"/>
      </w:r>
      <w:r>
        <w:rPr/>
        <w:t>.</w:t>
        <w:tab/>
        <w:t>Wyniki liczbowo procentowe odpowiedzi ankietowanych – Opinie na temat antropologii i seksualności</w:t>
      </w:r>
      <w:bookmarkEnd w:id="14"/>
    </w:p>
    <w:tbl>
      <w:tblPr>
        <w:tblW w:w="5000" w:type="pct"/>
        <w:jc w:val="left"/>
        <w:tblInd w:w="0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3030"/>
        <w:gridCol w:w="355"/>
        <w:gridCol w:w="358"/>
        <w:gridCol w:w="353"/>
        <w:gridCol w:w="356"/>
        <w:gridCol w:w="354"/>
        <w:gridCol w:w="355"/>
        <w:gridCol w:w="353"/>
        <w:gridCol w:w="356"/>
        <w:gridCol w:w="354"/>
        <w:gridCol w:w="355"/>
        <w:gridCol w:w="354"/>
        <w:gridCol w:w="355"/>
        <w:gridCol w:w="354"/>
        <w:gridCol w:w="355"/>
        <w:gridCol w:w="360"/>
        <w:gridCol w:w="360"/>
        <w:gridCol w:w="352"/>
      </w:tblGrid>
      <w:tr>
        <w:trPr>
          <w:trHeight w:val="340" w:hRule="atLeast"/>
        </w:trPr>
        <w:tc>
          <w:tcPr>
            <w:tcW w:w="30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bookmarkStart w:id="15" w:name="_Hlk92183773"/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Opinie na temat antropologii i seksualności</w:t>
            </w:r>
            <w:bookmarkEnd w:id="15"/>
          </w:p>
        </w:tc>
        <w:tc>
          <w:tcPr>
            <w:tcW w:w="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punktacja -3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punktacja -2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punktacja -1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punktacja 0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punktacja 1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punktacja 2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punktacja 3</w:t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Stat opisowa</w:t>
            </w:r>
          </w:p>
        </w:tc>
      </w:tr>
      <w:tr>
        <w:trPr>
          <w:trHeight w:val="340" w:hRule="atLeast"/>
        </w:trPr>
        <w:tc>
          <w:tcPr>
            <w:tcW w:w="303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n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%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n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%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n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%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n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%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n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%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n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%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n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%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SD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Me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 jest stworzony i powołany przez Boga do miłości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25,6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65,5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2,47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0,98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Każdy człowiek jest osobą i posiada nienaruszalną godność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14,1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23,1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55,1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2,10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1,43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rozumnej decyzji dwojga ludzi by żyć razem w małżeństwie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23,1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60,2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2,24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1,30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Człowieka nie wolno wykorzystywać tak, jakby był przedmiotem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17,9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60,3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1,97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1,67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polega na wzajemnej pomocy i czynieniu sobie dobra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34,6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56,4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2,36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1,03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Ciało człowieka jest mieszkaniem duszy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24,4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61,5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2,33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1,18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bezinteresownym darze z samego siebie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33,3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47,5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1,88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1,67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Celem zbliżenia seksualnego kobiety i mężczyzny jest budowanie więzi psychicznej i duchowej między nimi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19,2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48,7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1,54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1,98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Dojrzała miłość ludzka jest możliwa tylko w związku jednej kobiety z jednym mężczyzną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15,4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19,2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47,5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1,79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1,52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dąży do przekazywania życia dzieciom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16,7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16,7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44,8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1,29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2,03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Stosunek seksualny mężczyzny i kobiety może mieć miejsce tylko wtedy, gdy parę łączy miłość i odpowiedzialność za siebie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17,9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56,4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1,86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1,78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jest przede wszystkim uczuciem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15,4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24,3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41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1,69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1,54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Prawdziwa miłość kobiety i mężczyzny wymaga zawarcia nierozerwalnego małżeństwa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21,8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17,9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33,4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1,04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1,92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2</w:t>
            </w:r>
          </w:p>
        </w:tc>
      </w:tr>
    </w:tbl>
    <w:p>
      <w:pPr>
        <w:pStyle w:val="Normal"/>
        <w:spacing w:lineRule="auto" w:line="240" w:before="0" w:after="0"/>
        <w:rPr>
          <w:rFonts w:cs="Times New Roman"/>
        </w:rPr>
      </w:pPr>
      <w:r>
        <w:rPr/>
        <w:t>n – liczebność odpowiedzi; % - z całej grupy</w:t>
      </w:r>
    </w:p>
    <w:p>
      <w:pPr>
        <w:pStyle w:val="Normal"/>
        <w:spacing w:lineRule="auto" w:line="240" w:before="0" w:after="0"/>
        <w:rPr>
          <w:rFonts w:cs="Times New Roman"/>
        </w:rPr>
      </w:pPr>
      <w:r>
        <w:rPr/>
        <w:t>Alfa Cronbacha: 0,83; Średnia kor. między poz.: 0,29</w:t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16" w:name="_Toc92184454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5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antropologii i seksualności względem oceny religijności Huberta – cała grupa</w:t>
      </w:r>
      <w:bookmarkEnd w:id="16"/>
      <w:r>
        <w:rPr>
          <w:rFonts w:cs="Times New Roman"/>
        </w:rPr>
        <w:t xml:space="preserve"> </w:t>
      </w:r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809"/>
        <w:gridCol w:w="589"/>
        <w:gridCol w:w="590"/>
        <w:gridCol w:w="592"/>
        <w:gridCol w:w="588"/>
        <w:gridCol w:w="592"/>
        <w:gridCol w:w="590"/>
        <w:gridCol w:w="589"/>
        <w:gridCol w:w="592"/>
        <w:gridCol w:w="588"/>
        <w:gridCol w:w="591"/>
        <w:gridCol w:w="591"/>
        <w:gridCol w:w="589"/>
        <w:gridCol w:w="591"/>
        <w:gridCol w:w="591"/>
      </w:tblGrid>
      <w:tr>
        <w:trPr>
          <w:trHeight w:val="1912" w:hRule="atLeast"/>
          <w:cantSplit w:val="true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 jest stworzony i powołany przez Boga do miłości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Każdy człowiek jest osobą i posiada nienaruszalną godność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rozumnej decyzji dwojga ludzi by żyć razem w małżeństwie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Człowieka nie wolno wykorzystywać tak, jakby był przedmiotem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polega na wzajemnej pomocy i czynieniu sobie dobra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Ciało człowieka jest mieszkaniem duszy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bezinteresownym darze z samego siebie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Celem zbliżenia seksualnego kobiety i mężczyzny jest budowanie więzi psychicznej i duchowej między nimi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Dojrzała miłość ludzka jest możliwa tylko w związku jednej kobiety z jednym mężczyzną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dąży do przekazywania życia dzieciom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Stosunek seksualny mężczyzny i kobiety może mieć miejsce tylko wtedy, gdy parę łączy miłość i odpowiedzialność za siebie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jest przede wszystkim uczuciem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Prawdziwa miłość kobiety i mężczyzny wymaga zawarcia nierozerwalnego małżeństwa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Opinie na temat antropologii i seksualności - Wynik sumaryczny</w:t>
            </w:r>
          </w:p>
        </w:tc>
      </w:tr>
      <w:tr>
        <w:trPr>
          <w:trHeight w:val="340" w:hRule="atLeast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0,21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0,08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0,28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0,18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0,32</w:t>
            </w:r>
          </w:p>
        </w:tc>
      </w:tr>
      <w:tr>
        <w:trPr>
          <w:trHeight w:val="340" w:hRule="atLeast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0,16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0,35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0,25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0,21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0,16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0,24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0,33</w:t>
            </w:r>
          </w:p>
        </w:tc>
      </w:tr>
      <w:tr>
        <w:trPr>
          <w:trHeight w:val="340" w:hRule="atLeast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-0,18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0,05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-0,17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-0,02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0,07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-0,10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-0,13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-0,06</w:t>
            </w:r>
          </w:p>
        </w:tc>
      </w:tr>
      <w:tr>
        <w:trPr>
          <w:trHeight w:val="340" w:hRule="atLeast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-0,12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0,11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0,05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-0,01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0,27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0,18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0,13</w:t>
            </w:r>
          </w:p>
        </w:tc>
      </w:tr>
      <w:tr>
        <w:trPr>
          <w:trHeight w:val="340" w:hRule="atLeast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0,17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-0,14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0,04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-0,02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0,07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0,14</w:t>
            </w:r>
          </w:p>
        </w:tc>
      </w:tr>
      <w:tr>
        <w:trPr>
          <w:trHeight w:val="340" w:hRule="atLeast"/>
        </w:trPr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0,21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0,16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0,18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0,09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0,04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  <w:t>0,22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p>
      <w:pPr>
        <w:pStyle w:val="Normal"/>
        <w:spacing w:lineRule="auto" w:line="276" w:before="0" w:after="200"/>
        <w:ind w:hanging="0"/>
        <w:jc w:val="left"/>
        <w:rPr>
          <w:rFonts w:eastAsia="Times New Roman" w:cs="Times New Roman"/>
          <w:b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</w:r>
    </w:p>
    <w:p>
      <w:pPr>
        <w:pStyle w:val="Nagwek4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 xml:space="preserve">Porównanie z podziałem na wiek </w:t>
      </w:r>
    </w:p>
    <w:p>
      <w:pPr>
        <w:pStyle w:val="Caption"/>
        <w:keepNext w:val="true"/>
        <w:rPr>
          <w:rFonts w:cs="Times New Roman"/>
        </w:rPr>
      </w:pPr>
      <w:bookmarkStart w:id="17" w:name="_Toc69199717"/>
      <w:bookmarkStart w:id="18" w:name="_Toc92184455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6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antropologii i seksualności względem oceny religijności Huberta – analiza z podziałem na wiek</w:t>
      </w:r>
      <w:bookmarkEnd w:id="18"/>
      <w:r>
        <w:rPr>
          <w:rFonts w:cs="Times New Roman"/>
        </w:rPr>
        <w:t xml:space="preserve"> </w:t>
      </w:r>
      <w:bookmarkEnd w:id="17"/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808"/>
        <w:gridCol w:w="589"/>
        <w:gridCol w:w="590"/>
        <w:gridCol w:w="592"/>
        <w:gridCol w:w="588"/>
        <w:gridCol w:w="590"/>
        <w:gridCol w:w="591"/>
        <w:gridCol w:w="587"/>
        <w:gridCol w:w="590"/>
        <w:gridCol w:w="590"/>
        <w:gridCol w:w="589"/>
        <w:gridCol w:w="588"/>
        <w:gridCol w:w="590"/>
        <w:gridCol w:w="591"/>
        <w:gridCol w:w="599"/>
      </w:tblGrid>
      <w:tr>
        <w:trPr>
          <w:trHeight w:val="1912" w:hRule="atLeast"/>
          <w:cantSplit w:val="true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 jest stworzony i powołany przez Boga do miłości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Każdy człowiek jest osobą i posiada nienaruszalną godność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rozumnej decyzji dwojga ludzi by żyć razem w małżeństwie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Człowieka nie wolno wykorzystywać tak, jakby był przedmiotem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polega na wzajemnej pomocy i czynieniu sobie dobra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Ciało człowieka jest mieszkaniem duszy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bezinteresownym darze z samego siebie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Celem zbliżenia seksualnego kobiety i mężczyzny jest budowanie więzi psychicznej i duchowej między nimi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Dojrzała miłość ludzka jest możliwa tylko w związku jednej kobiety z jednym mężczyzną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dąży do przekazywania życia dzieciom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Stosunek seksualny mężczyzny i kobiety może mieć miejsce tylko wtedy, gdy parę łączy miłość i odpowiedzialność za siebie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jest przede wszystkim uczuciem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Prawdziwa miłość kobiety i mężczyzny wymaga zawarcia nierozerwalnego małżeństwa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Opinie na temat antropologii i seksualności - Wynik sumaryczny</w:t>
            </w:r>
          </w:p>
        </w:tc>
      </w:tr>
      <w:tr>
        <w:trPr>
          <w:trHeight w:val="423" w:hRule="atLeast"/>
          <w:cantSplit w:val="true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  <w:t>Wiek do 20 lat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0,46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21-25 lat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0,55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0,47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0,49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0,28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ponad 25 lat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-0,25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-0,30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-0,41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p>
      <w:pPr>
        <w:pStyle w:val="Normal"/>
        <w:spacing w:lineRule="auto" w:line="259" w:before="0" w:after="160"/>
        <w:ind w:hanging="0"/>
        <w:jc w:val="left"/>
        <w:rPr>
          <w:rFonts w:eastAsia="Times New Roman" w:cs="Times New Roman"/>
          <w:b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</w:r>
      <w:r>
        <w:br w:type="page"/>
      </w:r>
    </w:p>
    <w:p>
      <w:pPr>
        <w:pStyle w:val="Nagwek4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>Porównanie względem płci</w:t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19" w:name="_Toc92184456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7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antropologii i seksualności względem oceny religijności Huberta – analiza z podziałem na płeć</w:t>
      </w:r>
      <w:bookmarkEnd w:id="19"/>
      <w:r>
        <w:rPr>
          <w:rFonts w:cs="Times New Roman"/>
        </w:rPr>
        <w:t xml:space="preserve"> </w:t>
      </w:r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808"/>
        <w:gridCol w:w="589"/>
        <w:gridCol w:w="590"/>
        <w:gridCol w:w="592"/>
        <w:gridCol w:w="588"/>
        <w:gridCol w:w="590"/>
        <w:gridCol w:w="591"/>
        <w:gridCol w:w="587"/>
        <w:gridCol w:w="590"/>
        <w:gridCol w:w="590"/>
        <w:gridCol w:w="589"/>
        <w:gridCol w:w="588"/>
        <w:gridCol w:w="590"/>
        <w:gridCol w:w="591"/>
        <w:gridCol w:w="599"/>
      </w:tblGrid>
      <w:tr>
        <w:trPr>
          <w:trHeight w:val="1912" w:hRule="atLeast"/>
          <w:cantSplit w:val="true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 jest stworzony i powołany przez Boga do miłości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Każdy człowiek jest osobą i posiada nienaruszalną godność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rozumnej decyzji dwojga ludzi by żyć razem w małżeństwie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Człowieka nie wolno wykorzystywać tak, jakby był przedmiotem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polega na wzajemnej pomocy i czynieniu sobie dobra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Ciało człowieka jest mieszkaniem duszy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bezinteresownym darze z samego siebie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Celem zbliżenia seksualnego kobiety i mężczyzny jest budowanie więzi psychicznej i duchowej między nimi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Dojrzała miłość ludzka jest możliwa tylko w związku jednej kobiety z jednym mężczyzną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dąży do przekazywania życia dzieciom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Stosunek seksualny mężczyzny i kobiety może mieć miejsce tylko wtedy, gdy parę łączy miłość i odpowiedzialność za siebie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jest przede wszystkim uczuciem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Prawdziwa miłość kobiety i mężczyzny wymaga zawarcia nierozerwalnego małżeństwa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Opinie na temat antropologii i seksualności - Wynik sumaryczny</w:t>
            </w:r>
          </w:p>
        </w:tc>
      </w:tr>
      <w:tr>
        <w:trPr>
          <w:trHeight w:val="423" w:hRule="atLeast"/>
          <w:cantSplit w:val="true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  <w:t xml:space="preserve">Mężczyźni 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0,37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Kobiety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0,27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0,28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-0,27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p>
      <w:pPr>
        <w:pStyle w:val="Normal"/>
        <w:spacing w:lineRule="auto" w:line="276" w:before="0" w:after="200"/>
        <w:ind w:hanging="0"/>
        <w:jc w:val="left"/>
        <w:rPr>
          <w:rFonts w:eastAsia="Times New Roman" w:cs="Times New Roman"/>
          <w:b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</w:r>
    </w:p>
    <w:p>
      <w:pPr>
        <w:pStyle w:val="Nagwek4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>Porównanie względem miejsca zamieszkania</w:t>
      </w:r>
    </w:p>
    <w:p>
      <w:pPr>
        <w:pStyle w:val="Normal"/>
        <w:spacing w:before="0" w:after="0"/>
        <w:rPr>
          <w:rFonts w:cs="Times New Roman"/>
        </w:rPr>
      </w:pPr>
      <w:r>
        <w:rPr>
          <w:rFonts w:cs="Times New Roman"/>
        </w:rPr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20" w:name="_Toc92184457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8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antropologii i seksualności względem oceny religijności Huberta – analiza z podziałem na miejsce zamieszkania</w:t>
      </w:r>
      <w:bookmarkEnd w:id="20"/>
      <w:r>
        <w:rPr>
          <w:rFonts w:cs="Times New Roman"/>
        </w:rPr>
        <w:t xml:space="preserve"> </w:t>
      </w:r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808"/>
        <w:gridCol w:w="589"/>
        <w:gridCol w:w="590"/>
        <w:gridCol w:w="592"/>
        <w:gridCol w:w="588"/>
        <w:gridCol w:w="590"/>
        <w:gridCol w:w="591"/>
        <w:gridCol w:w="587"/>
        <w:gridCol w:w="590"/>
        <w:gridCol w:w="590"/>
        <w:gridCol w:w="589"/>
        <w:gridCol w:w="588"/>
        <w:gridCol w:w="590"/>
        <w:gridCol w:w="591"/>
        <w:gridCol w:w="599"/>
      </w:tblGrid>
      <w:tr>
        <w:trPr>
          <w:trHeight w:val="1912" w:hRule="atLeast"/>
          <w:cantSplit w:val="true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 jest stworzony i powołany przez Boga do miłości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Każdy człowiek jest osobą i posiada nienaruszalną godność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rozumnej decyzji dwojga ludzi by żyć razem w małżeństwie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Człowieka nie wolno wykorzystywać tak, jakby był przedmiotem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polega na wzajemnej pomocy i czynieniu sobie dobra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Ciało człowieka jest mieszkaniem duszy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bezinteresownym darze z samego siebie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Celem zbliżenia seksualnego kobiety i mężczyzny jest budowanie więzi psychicznej i duchowej między nimi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Dojrzała miłość ludzka jest możliwa tylko w związku jednej kobiety z jednym mężczyzną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dąży do przekazywania życia dzieciom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Stosunek seksualny mężczyzny i kobiety może mieć miejsce tylko wtedy, gdy parę łączy miłość i odpowiedzialność za siebie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jest przede wszystkim uczuciem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Prawdziwa miłość kobiety i mężczyzny wymaga zawarcia nierozerwalnego małżeństwa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Opinie na temat antropologii i seksualności - Wynik sumaryczny</w:t>
            </w:r>
          </w:p>
        </w:tc>
      </w:tr>
      <w:tr>
        <w:trPr>
          <w:trHeight w:val="423" w:hRule="atLeast"/>
          <w:cantSplit w:val="true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  <w:t>Wieś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0,51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0,54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0,70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0,42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0,46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0,27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0,48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0,45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0,48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0,37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0,26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0,44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Miasteczko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-0,24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Miasto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0,42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0,42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0,64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0,71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0,67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0,76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0,86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0,36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0,78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0,44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-0,33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-0,34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-0,61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-0,26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-0,63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-0,53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0,32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0,57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0,39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0,41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0,70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0,62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p>
      <w:pPr>
        <w:pStyle w:val="NoSpacing"/>
        <w:jc w:val="left"/>
        <w:rPr>
          <w:rFonts w:eastAsia="Times New Roman" w:cs="Times New Roman"/>
          <w:b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</w:r>
    </w:p>
    <w:p>
      <w:pPr>
        <w:pStyle w:val="Nagwek4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>Porównanie względem rodziny pochodzenia</w:t>
      </w:r>
    </w:p>
    <w:p>
      <w:pPr>
        <w:pStyle w:val="Caption"/>
        <w:keepNext w:val="true"/>
        <w:rPr>
          <w:rFonts w:cs="Times New Roman"/>
        </w:rPr>
      </w:pPr>
      <w:bookmarkStart w:id="21" w:name="_Toc92184458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9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antropologii i seksualności względem oceny religijności Huberta – analiza względem rodzina pochodzenie</w:t>
      </w:r>
      <w:bookmarkEnd w:id="21"/>
      <w:r>
        <w:rPr>
          <w:rFonts w:cs="Times New Roman"/>
        </w:rPr>
        <w:t xml:space="preserve">  </w:t>
      </w:r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808"/>
        <w:gridCol w:w="589"/>
        <w:gridCol w:w="590"/>
        <w:gridCol w:w="592"/>
        <w:gridCol w:w="588"/>
        <w:gridCol w:w="590"/>
        <w:gridCol w:w="591"/>
        <w:gridCol w:w="587"/>
        <w:gridCol w:w="590"/>
        <w:gridCol w:w="590"/>
        <w:gridCol w:w="589"/>
        <w:gridCol w:w="588"/>
        <w:gridCol w:w="590"/>
        <w:gridCol w:w="591"/>
        <w:gridCol w:w="599"/>
      </w:tblGrid>
      <w:tr>
        <w:trPr>
          <w:trHeight w:val="1912" w:hRule="atLeast"/>
          <w:cantSplit w:val="true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 jest stworzony i powołany przez Boga do miłości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Każdy człowiek jest osobą i posiada nienaruszalną godność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rozumnej decyzji dwojga ludzi by żyć razem w małżeństwie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Człowieka nie wolno wykorzystywać tak, jakby był przedmiotem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polega na wzajemnej pomocy i czynieniu sobie dobra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Ciało człowieka jest mieszkaniem duszy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polega na bezinteresownym darze z samego siebie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Celem zbliżenia seksualnego kobiety i mężczyzny jest budowanie więzi psychicznej i duchowej między nimi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Dojrzała miłość ludzka jest możliwa tylko w związku jednej kobiety z jednym mężczyzną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kobiety i mężczyzny dąży do przekazywania życia dzieciom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Stosunek seksualny mężczyzny i kobiety może mieć miejsce tylko wtedy, gdy parę łączy miłość i odpowiedzialność za siebie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Miłość jest przede wszystkim uczuciem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Prawdziwa miłość kobiety i mężczyzny wymaga zawarcia nierozerwalnego małżeństwa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  <w:t>Opinie na temat antropologii i seksualności - Wynik sumaryczny</w:t>
            </w:r>
          </w:p>
        </w:tc>
      </w:tr>
      <w:tr>
        <w:trPr>
          <w:trHeight w:val="423" w:hRule="atLeast"/>
          <w:cantSplit w:val="true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  <w:t>Rodzina z obojgiem rodziców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0,21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0,52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-0,31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Inne sytuacje rodzinne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0,40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-0,25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0,28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0,28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-0,41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-0,43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-0,34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</w:tr>
      <w:tr>
        <w:trPr>
          <w:trHeight w:val="340" w:hRule="atLeast"/>
        </w:trPr>
        <w:tc>
          <w:tcPr>
            <w:tcW w:w="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p>
      <w:pPr>
        <w:pStyle w:val="Normal"/>
        <w:spacing w:lineRule="auto" w:line="276" w:before="0" w:after="200"/>
        <w:ind w:hanging="0"/>
        <w:jc w:val="left"/>
        <w:rPr>
          <w:rFonts w:eastAsia="" w:cs="Times New Roman" w:eastAsiaTheme="majorEastAsia"/>
          <w:b/>
          <w:b/>
          <w:bCs/>
          <w:sz w:val="26"/>
          <w:szCs w:val="26"/>
        </w:rPr>
      </w:pPr>
      <w:r>
        <w:rPr>
          <w:rFonts w:eastAsia="" w:cs="Times New Roman" w:eastAsiaTheme="majorEastAsia"/>
          <w:b/>
          <w:bCs/>
          <w:sz w:val="26"/>
          <w:szCs w:val="26"/>
        </w:rPr>
      </w:r>
    </w:p>
    <w:p>
      <w:pPr>
        <w:pStyle w:val="Nagwek2"/>
        <w:numPr>
          <w:ilvl w:val="1"/>
          <w:numId w:val="2"/>
        </w:numPr>
        <w:ind w:left="788" w:hanging="431"/>
        <w:rPr>
          <w:rFonts w:cs="Times New Roman"/>
        </w:rPr>
      </w:pPr>
      <w:bookmarkStart w:id="22" w:name="_Toc92184482"/>
      <w:r>
        <w:rPr>
          <w:rFonts w:cs="Times New Roman"/>
        </w:rPr>
        <w:t>Analiza wyników dla części II pytań z kwestionariusza autorskiego - Opinie na temat małżeństwa</w:t>
      </w:r>
      <w:bookmarkEnd w:id="22"/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23" w:name="_Toc92184459"/>
      <w:r>
        <w:rPr/>
        <w:t xml:space="preserve">Tab. </w:t>
      </w:r>
      <w:r>
        <w:rPr/>
        <w:fldChar w:fldCharType="begin"/>
      </w:r>
      <w:r>
        <w:rPr/>
        <w:instrText> SEQ Tab. \* ARABIC </w:instrText>
      </w:r>
      <w:r>
        <w:rPr/>
        <w:fldChar w:fldCharType="separate"/>
      </w:r>
      <w:r>
        <w:rPr/>
        <w:t>10</w:t>
      </w:r>
      <w:r>
        <w:rPr/>
        <w:fldChar w:fldCharType="end"/>
      </w:r>
      <w:r>
        <w:rPr/>
        <w:t>.</w:t>
        <w:tab/>
        <w:t>Wyniki liczbowo procentowe odpowiedzi ankietowanych –</w:t>
      </w:r>
      <w:r>
        <w:rPr>
          <w:rFonts w:cs="Times New Roman"/>
        </w:rPr>
        <w:t xml:space="preserve"> Opinie na temat małżeństwa</w:t>
      </w:r>
      <w:bookmarkEnd w:id="23"/>
    </w:p>
    <w:tbl>
      <w:tblPr>
        <w:tblW w:w="5000" w:type="pct"/>
        <w:jc w:val="left"/>
        <w:tblInd w:w="0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3030"/>
        <w:gridCol w:w="355"/>
        <w:gridCol w:w="358"/>
        <w:gridCol w:w="353"/>
        <w:gridCol w:w="356"/>
        <w:gridCol w:w="354"/>
        <w:gridCol w:w="355"/>
        <w:gridCol w:w="353"/>
        <w:gridCol w:w="356"/>
        <w:gridCol w:w="354"/>
        <w:gridCol w:w="355"/>
        <w:gridCol w:w="354"/>
        <w:gridCol w:w="355"/>
        <w:gridCol w:w="354"/>
        <w:gridCol w:w="355"/>
        <w:gridCol w:w="360"/>
        <w:gridCol w:w="360"/>
        <w:gridCol w:w="352"/>
      </w:tblGrid>
      <w:tr>
        <w:trPr>
          <w:trHeight w:val="340" w:hRule="atLeast"/>
        </w:trPr>
        <w:tc>
          <w:tcPr>
            <w:tcW w:w="30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rFonts w:cs="Times New Roman"/>
              </w:rPr>
              <w:t>Opinie na temat małżeństwa</w:t>
            </w:r>
          </w:p>
        </w:tc>
        <w:tc>
          <w:tcPr>
            <w:tcW w:w="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punktacja -3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punktacja -2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punktacja -1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punktacja 0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punktacja 1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punktacja 2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punktacja 3</w:t>
            </w:r>
          </w:p>
        </w:tc>
        <w:tc>
          <w:tcPr>
            <w:tcW w:w="1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Stat opisowa</w:t>
            </w:r>
          </w:p>
        </w:tc>
      </w:tr>
      <w:tr>
        <w:trPr>
          <w:trHeight w:val="340" w:hRule="atLeast"/>
        </w:trPr>
        <w:tc>
          <w:tcPr>
            <w:tcW w:w="303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n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%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n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%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n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%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n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%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n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%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n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%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n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%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x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SD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lang w:eastAsia="pl-PL"/>
              </w:rPr>
              <w:t>Me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Rodzice lub społeczność mogą decydować o małżeństwie swoich dzieci.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54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34,6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17,9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11,5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10,3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-0,87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2,15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-2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Przyjaźń między mężem i żoną jest bardzo ważna w małżeństwie.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26,9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64,1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2,47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0,96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Małżonkowie powinni być sobie całkowicie wierni.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29,4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59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2,32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1,12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Więź seksualna jest bardzo ważna w małżeństwie.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15,4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25,5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52,6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2,15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1,24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Kobieta w małżeństwie ma niższą pozycję od mężczyzny.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54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34,6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36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23,1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12,8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-0,99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2,18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-2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Podstawą małżeństwa jest miłość męża i żony.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29,6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61,5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2,44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0,93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Małżeństwem jest jedynie związek jednej kobiety i jednego mężczyzny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24,4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52,6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1,88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1,69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Małżonkowie powinni być wobec siebie uczciwi.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30,7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60,2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2,38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1,07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Małżonkowie powinni się nawzajem szanować.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29,4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64,1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2,47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0,99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Małżeństwo powinno być zawarte w Kościele.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32,1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51,2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2,22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1,10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Tylko dzięki Bożej łasce działającej w sakramentach małżeństwo może być udane.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23,1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88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56,3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2,14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1,34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W pewnych sytuacjach można lub trzeba zastosować przemoc wobec współmałżonka.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64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41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25,6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11,5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6,5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-1,59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1,73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-2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Małżeństwo zawiera się na całe życie.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2,6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6,4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42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26,9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51,3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2,03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1,40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  <w:tr>
        <w:trPr>
          <w:trHeight w:val="340" w:hRule="atLeast"/>
        </w:trPr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Mąż i żona powinni modlić się razem.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3,8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1,3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7,7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50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32,1</w:t>
            </w: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84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>
                <w:color w:val="000000"/>
                <w:sz w:val="18"/>
                <w:szCs w:val="18"/>
              </w:rPr>
              <w:t>53,8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2,27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1,08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Spacing"/>
              <w:widowControl w:val="false"/>
              <w:rPr>
                <w:lang w:eastAsia="pl-PL"/>
              </w:rPr>
            </w:pPr>
            <w:r>
              <w:rPr/>
              <w:t>3</w:t>
            </w:r>
          </w:p>
        </w:tc>
      </w:tr>
    </w:tbl>
    <w:p>
      <w:pPr>
        <w:pStyle w:val="Normal"/>
        <w:spacing w:lineRule="auto" w:line="240" w:before="0" w:after="0"/>
        <w:rPr>
          <w:rFonts w:cs="Times New Roman"/>
        </w:rPr>
      </w:pPr>
      <w:r>
        <w:rPr/>
        <w:t>n – liczebność odpowiedzi; % - z całej grupy</w:t>
      </w:r>
    </w:p>
    <w:p>
      <w:pPr>
        <w:pStyle w:val="Normal"/>
        <w:spacing w:lineRule="auto" w:line="240" w:before="0" w:after="0"/>
        <w:rPr>
          <w:rFonts w:cs="Times New Roman"/>
        </w:rPr>
      </w:pPr>
      <w:r>
        <w:rPr/>
        <w:t>Alfa Cronbacha: 0,68; Średnia kor. między poz.: 0,20</w:t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24" w:name="_Toc92184460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11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małżeństwa względem oceny religijności Huberta – cała grupa</w:t>
      </w:r>
      <w:bookmarkEnd w:id="24"/>
      <w:r>
        <w:rPr>
          <w:rFonts w:cs="Times New Roman"/>
        </w:rPr>
        <w:t xml:space="preserve"> </w:t>
      </w:r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757"/>
        <w:gridCol w:w="555"/>
        <w:gridCol w:w="555"/>
        <w:gridCol w:w="556"/>
        <w:gridCol w:w="556"/>
        <w:gridCol w:w="556"/>
        <w:gridCol w:w="555"/>
        <w:gridCol w:w="555"/>
        <w:gridCol w:w="555"/>
        <w:gridCol w:w="557"/>
        <w:gridCol w:w="553"/>
        <w:gridCol w:w="552"/>
        <w:gridCol w:w="555"/>
        <w:gridCol w:w="553"/>
        <w:gridCol w:w="554"/>
        <w:gridCol w:w="545"/>
      </w:tblGrid>
      <w:tr>
        <w:trPr>
          <w:trHeight w:val="1912" w:hRule="atLeast"/>
          <w:cantSplit w:val="true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Rodzice lub społeczność mogą decydować o małżeństwie swoich dzieci.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Przyjaźń między mężem i żoną jest bardzo ważna w małżeństwie.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sobie całkowicie wierni.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Więź seksualna jest bardzo ważna w małżeństwie.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Kobieta w małżeństwie ma niższą pozycję od mężczyzny.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Podstawą małżeństwa jest miłość męża i żony.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Małżeństwem jest jedynie związek jednej kobiety i jednego mężczyzny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wobec siebie uczciwi.</w:t>
            </w:r>
          </w:p>
        </w:tc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się nawzajem szanować.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powinno być zawarte w Kościele.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Tylko dzięki Bożej łasce działającej w sakramentach małżeństwo może być udane.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 pewnych sytuacjach można lub trzeba zastosować przemoc wobec współmałżonka.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zawiera się na całe życie.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Mąż i żona powinni modlić się razem.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2"/>
              </w:rPr>
              <w:t xml:space="preserve">Opinie na temat małżeństwa - </w:t>
            </w:r>
            <w:r>
              <w:rPr>
                <w:rFonts w:cs="Times New Roman"/>
                <w:color w:val="000000"/>
                <w:sz w:val="20"/>
                <w:szCs w:val="20"/>
              </w:rPr>
              <w:t>Wynik sumaryczny</w:t>
            </w:r>
          </w:p>
        </w:tc>
      </w:tr>
      <w:tr>
        <w:trPr>
          <w:trHeight w:val="340" w:hRule="atLeast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0,16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0,16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0,19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</w:tr>
      <w:tr>
        <w:trPr>
          <w:trHeight w:val="340" w:hRule="atLeast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-0,17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0,27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0,17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-0,27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0,17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</w:tr>
      <w:tr>
        <w:trPr>
          <w:trHeight w:val="340" w:hRule="atLeast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-0,29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</w:tr>
      <w:tr>
        <w:trPr>
          <w:trHeight w:val="340" w:hRule="atLeast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</w:tr>
      <w:tr>
        <w:trPr>
          <w:trHeight w:val="340" w:hRule="atLeast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-0,16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</w:tr>
      <w:tr>
        <w:trPr>
          <w:trHeight w:val="340" w:hRule="atLeast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-0,20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p>
      <w:pPr>
        <w:pStyle w:val="Normal"/>
        <w:spacing w:lineRule="auto" w:line="276" w:before="0" w:after="200"/>
        <w:ind w:hanging="0"/>
        <w:jc w:val="left"/>
        <w:rPr>
          <w:rFonts w:eastAsia="Times New Roman" w:cs="Times New Roman"/>
          <w:b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</w:r>
    </w:p>
    <w:p>
      <w:pPr>
        <w:pStyle w:val="Nagwek4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 xml:space="preserve">Porównanie z podziałem na wiek </w:t>
      </w:r>
    </w:p>
    <w:p>
      <w:pPr>
        <w:pStyle w:val="Caption"/>
        <w:keepNext w:val="true"/>
        <w:rPr>
          <w:rFonts w:cs="Times New Roman"/>
        </w:rPr>
      </w:pPr>
      <w:bookmarkStart w:id="25" w:name="_Toc92184461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12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małżeństwa względem oceny religijności Huberta – analiza z podziałem na wiek</w:t>
      </w:r>
      <w:bookmarkEnd w:id="25"/>
      <w:r>
        <w:rPr>
          <w:rFonts w:cs="Times New Roman"/>
        </w:rPr>
        <w:t xml:space="preserve"> </w:t>
      </w:r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759"/>
        <w:gridCol w:w="554"/>
        <w:gridCol w:w="554"/>
        <w:gridCol w:w="555"/>
        <w:gridCol w:w="552"/>
        <w:gridCol w:w="554"/>
        <w:gridCol w:w="555"/>
        <w:gridCol w:w="552"/>
        <w:gridCol w:w="555"/>
        <w:gridCol w:w="551"/>
        <w:gridCol w:w="554"/>
        <w:gridCol w:w="554"/>
        <w:gridCol w:w="552"/>
        <w:gridCol w:w="554"/>
        <w:gridCol w:w="552"/>
        <w:gridCol w:w="562"/>
      </w:tblGrid>
      <w:tr>
        <w:trPr>
          <w:trHeight w:val="1912" w:hRule="atLeast"/>
          <w:cantSplit w:val="true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Rodzice lub społeczność mogą decydować o małżeństwie swoich dzieci.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Przyjaźń między mężem i żoną jest bardzo ważna w małżeństwie.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sobie całkowicie wierni.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Więź seksualna jest bardzo ważna w małżeństwie.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Kobieta w małżeństwie ma niższą pozycję od mężczyzny.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Podstawą małżeństwa jest miłość męża i żony.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Małżeństwem jest jedynie związek jednej kobiety i jednego mężczyzny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wobec siebie uczciwi.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się nawzajem szanować.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powinno być zawarte w Kościele.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Tylko dzięki Bożej łasce działającej w sakramentach małżeństwo może być udane.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 pewnych sytuacjach można lub trzeba zastosować przemoc wobec współmałżonka.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zawiera się na całe życie.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Mąż i żona powinni modlić się razem.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2"/>
              </w:rPr>
              <w:t xml:space="preserve">Opinie na temat małżeństwa - </w:t>
            </w:r>
            <w:r>
              <w:rPr>
                <w:rFonts w:cs="Times New Roman"/>
                <w:color w:val="000000"/>
                <w:sz w:val="20"/>
                <w:szCs w:val="20"/>
              </w:rPr>
              <w:t>Wynik sumaryczny</w:t>
            </w:r>
          </w:p>
        </w:tc>
      </w:tr>
      <w:tr>
        <w:trPr>
          <w:trHeight w:val="423" w:hRule="atLeast"/>
          <w:cantSplit w:val="true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  <w:t>Wiek do 20 lat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0,27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0,73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0,27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-0,43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0,59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0,52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0,37</w:t>
            </w:r>
          </w:p>
        </w:tc>
      </w:tr>
      <w:tr>
        <w:trPr>
          <w:trHeight w:val="340" w:hRule="atLeast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21-25 lat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-0,23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-0,23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</w:tr>
      <w:tr>
        <w:trPr>
          <w:trHeight w:val="340" w:hRule="atLeast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ponad 25 lat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-0,46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-0,26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-0,42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-0,41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-0,32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-0,53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-0,24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p>
      <w:pPr>
        <w:pStyle w:val="Normal"/>
        <w:spacing w:lineRule="auto" w:line="276" w:before="0" w:after="200"/>
        <w:ind w:hanging="0"/>
        <w:jc w:val="left"/>
        <w:rPr>
          <w:rFonts w:eastAsia="Times New Roman" w:cs="Times New Roman"/>
          <w:b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</w:r>
      <w:r>
        <w:br w:type="page"/>
      </w:r>
    </w:p>
    <w:p>
      <w:pPr>
        <w:pStyle w:val="Nagwek4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>Porównanie względem płci</w:t>
      </w:r>
    </w:p>
    <w:p>
      <w:pPr>
        <w:pStyle w:val="Caption"/>
        <w:keepNext w:val="true"/>
        <w:rPr>
          <w:rFonts w:cs="Times New Roman"/>
        </w:rPr>
      </w:pPr>
      <w:bookmarkStart w:id="26" w:name="_Toc92184462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13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małżeństwa względem oceny religijności Huberta – analiza z podziałem na płeć</w:t>
      </w:r>
      <w:bookmarkEnd w:id="26"/>
      <w:r>
        <w:rPr>
          <w:rFonts w:cs="Times New Roman"/>
        </w:rPr>
        <w:t xml:space="preserve"> </w:t>
      </w:r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759"/>
        <w:gridCol w:w="554"/>
        <w:gridCol w:w="554"/>
        <w:gridCol w:w="555"/>
        <w:gridCol w:w="552"/>
        <w:gridCol w:w="554"/>
        <w:gridCol w:w="555"/>
        <w:gridCol w:w="552"/>
        <w:gridCol w:w="555"/>
        <w:gridCol w:w="551"/>
        <w:gridCol w:w="554"/>
        <w:gridCol w:w="554"/>
        <w:gridCol w:w="552"/>
        <w:gridCol w:w="554"/>
        <w:gridCol w:w="552"/>
        <w:gridCol w:w="562"/>
      </w:tblGrid>
      <w:tr>
        <w:trPr>
          <w:trHeight w:val="1912" w:hRule="atLeast"/>
          <w:cantSplit w:val="true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Rodzice lub społeczność mogą decydować o małżeństwie swoich dzieci.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Przyjaźń między mężem i żoną jest bardzo ważna w małżeństwie.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sobie całkowicie wierni.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Więź seksualna jest bardzo ważna w małżeństwie.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Kobieta w małżeństwie ma niższą pozycję od mężczyzny.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Podstawą małżeństwa jest miłość męża i żony.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Małżeństwem jest jedynie związek jednej kobiety i jednego mężczyzny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wobec siebie uczciwi.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się nawzajem szanować.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powinno być zawarte w Kościele.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Tylko dzięki Bożej łasce działającej w sakramentach małżeństwo może być udane.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 pewnych sytuacjach można lub trzeba zastosować przemoc wobec współmałżonka.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zawiera się na całe życie.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Mąż i żona powinni modlić się razem.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2"/>
              </w:rPr>
              <w:t xml:space="preserve">Opinie na temat małżeństwa - </w:t>
            </w:r>
            <w:r>
              <w:rPr>
                <w:rFonts w:cs="Times New Roman"/>
                <w:color w:val="000000"/>
                <w:sz w:val="20"/>
                <w:szCs w:val="20"/>
              </w:rPr>
              <w:t>Wynik sumaryczny</w:t>
            </w:r>
          </w:p>
        </w:tc>
      </w:tr>
      <w:tr>
        <w:trPr>
          <w:trHeight w:val="423" w:hRule="atLeast"/>
          <w:cantSplit w:val="true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  <w:t xml:space="preserve">Mężczyźni 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</w:tr>
      <w:tr>
        <w:trPr>
          <w:trHeight w:val="340" w:hRule="atLeast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Kobiety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0,24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-0,43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-0,23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p>
      <w:pPr>
        <w:pStyle w:val="Normal"/>
        <w:spacing w:lineRule="auto" w:line="276" w:before="0" w:after="200"/>
        <w:ind w:hanging="0"/>
        <w:jc w:val="left"/>
        <w:rPr>
          <w:rFonts w:eastAsia="Times New Roman" w:cs="Times New Roman"/>
          <w:b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</w:r>
    </w:p>
    <w:p>
      <w:pPr>
        <w:pStyle w:val="Nagwek4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>Porównanie względem miejsca zamieszkania</w:t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27" w:name="_Toc92184463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14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małżeństwa względem oceny religijności Huberta – analiza z podziałem na miejsce zamieszkania</w:t>
      </w:r>
      <w:bookmarkEnd w:id="27"/>
      <w:r>
        <w:rPr>
          <w:rFonts w:cs="Times New Roman"/>
        </w:rPr>
        <w:t xml:space="preserve"> </w:t>
      </w:r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759"/>
        <w:gridCol w:w="554"/>
        <w:gridCol w:w="554"/>
        <w:gridCol w:w="555"/>
        <w:gridCol w:w="552"/>
        <w:gridCol w:w="554"/>
        <w:gridCol w:w="555"/>
        <w:gridCol w:w="552"/>
        <w:gridCol w:w="555"/>
        <w:gridCol w:w="551"/>
        <w:gridCol w:w="554"/>
        <w:gridCol w:w="554"/>
        <w:gridCol w:w="552"/>
        <w:gridCol w:w="554"/>
        <w:gridCol w:w="552"/>
        <w:gridCol w:w="562"/>
      </w:tblGrid>
      <w:tr>
        <w:trPr>
          <w:trHeight w:val="1912" w:hRule="atLeast"/>
          <w:cantSplit w:val="true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Rodzice lub społeczność mogą decydować o małżeństwie swoich dzieci.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Przyjaźń między mężem i żoną jest bardzo ważna w małżeństwie.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sobie całkowicie wierni.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Więź seksualna jest bardzo ważna w małżeństwie.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Kobieta w małżeństwie ma niższą pozycję od mężczyzny.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Podstawą małżeństwa jest miłość męża i żony.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Małżeństwem jest jedynie związek jednej kobiety i jednego mężczyzny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wobec siebie uczciwi.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się nawzajem szanować.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powinno być zawarte w Kościele.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Tylko dzięki Bożej łasce działającej w sakramentach małżeństwo może być udane.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 pewnych sytuacjach można lub trzeba zastosować przemoc wobec współmałżonka.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zawiera się na całe życie.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Mąż i żona powinni modlić się razem.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2"/>
              </w:rPr>
              <w:t xml:space="preserve">Opinie na temat małżeństwa - </w:t>
            </w:r>
            <w:r>
              <w:rPr>
                <w:rFonts w:cs="Times New Roman"/>
                <w:color w:val="000000"/>
                <w:sz w:val="20"/>
                <w:szCs w:val="20"/>
              </w:rPr>
              <w:t>Wynik sumaryczny</w:t>
            </w:r>
          </w:p>
        </w:tc>
      </w:tr>
      <w:tr>
        <w:trPr>
          <w:trHeight w:val="423" w:hRule="atLeast"/>
          <w:cantSplit w:val="true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  <w:t>Wieś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0,52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0,30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-0,24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-0,41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0,27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</w:tr>
      <w:tr>
        <w:trPr>
          <w:trHeight w:val="340" w:hRule="atLeast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Miasteczko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0,25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-0,23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</w:tr>
      <w:tr>
        <w:trPr>
          <w:trHeight w:val="340" w:hRule="atLeast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Miasto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0,55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-0,37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-0,37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-0,24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0,71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0,68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-0,25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-0,70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0,26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-0,72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0,42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0,28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0,35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0,24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0,31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0,41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0,62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-0,34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0,51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0,48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0,27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p>
      <w:pPr>
        <w:pStyle w:val="NoSpacing"/>
        <w:jc w:val="left"/>
        <w:rPr>
          <w:rFonts w:eastAsia="Times New Roman" w:cs="Times New Roman"/>
          <w:b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</w:r>
    </w:p>
    <w:p>
      <w:pPr>
        <w:pStyle w:val="Nagwek4"/>
        <w:numPr>
          <w:ilvl w:val="0"/>
          <w:numId w:val="2"/>
        </w:numPr>
        <w:rPr>
          <w:rFonts w:cs="Times New Roman"/>
        </w:rPr>
      </w:pPr>
      <w:r>
        <w:rPr>
          <w:rFonts w:cs="Times New Roman"/>
        </w:rPr>
        <w:t>Porównanie względem rodziny pochodzenia</w:t>
      </w:r>
    </w:p>
    <w:p>
      <w:pPr>
        <w:pStyle w:val="Normal"/>
        <w:rPr>
          <w:rFonts w:cs="Times New Roman"/>
        </w:rPr>
      </w:pPr>
      <w:r>
        <w:rPr>
          <w:rFonts w:cs="Times New Roman"/>
        </w:rPr>
      </w:r>
    </w:p>
    <w:p>
      <w:pPr>
        <w:pStyle w:val="Caption"/>
        <w:keepNext w:val="true"/>
        <w:rPr>
          <w:rFonts w:cs="Times New Roman"/>
        </w:rPr>
      </w:pPr>
      <w:bookmarkStart w:id="28" w:name="_Toc92184464"/>
      <w:r>
        <w:rPr>
          <w:rFonts w:cs="Times New Roman"/>
        </w:rPr>
        <w:t xml:space="preserve">Tab. </w:t>
      </w:r>
      <w:r>
        <w:rPr>
          <w:rFonts w:cs="Times New Roman"/>
        </w:rPr>
        <w:fldChar w:fldCharType="begin"/>
      </w:r>
      <w:r>
        <w:rPr>
          <w:rFonts w:cs="Times New Roman"/>
        </w:rPr>
        <w:instrText> SEQ Tab. \* ARABIC </w:instrText>
      </w:r>
      <w:r>
        <w:rPr>
          <w:rFonts w:cs="Times New Roman"/>
        </w:rPr>
        <w:fldChar w:fldCharType="separate"/>
      </w:r>
      <w:r>
        <w:rPr>
          <w:rFonts w:cs="Times New Roman"/>
        </w:rPr>
        <w:t>15</w:t>
      </w:r>
      <w:r>
        <w:rPr>
          <w:rFonts w:cs="Times New Roman"/>
        </w:rPr>
        <w:fldChar w:fldCharType="end"/>
      </w:r>
      <w:r>
        <w:rPr>
          <w:rFonts w:cs="Times New Roman"/>
        </w:rPr>
        <w:t>.</w:t>
        <w:tab/>
        <w:t>Twierdzenia odnoszące się do aspektów z obszaru opinii na temat małżeństwa względem oceny religijności Huberta – analiza względem rodzina pochodzenie</w:t>
      </w:r>
      <w:bookmarkEnd w:id="28"/>
      <w:r>
        <w:rPr>
          <w:rFonts w:cs="Times New Roman"/>
        </w:rPr>
        <w:t xml:space="preserve">  </w:t>
      </w:r>
    </w:p>
    <w:tbl>
      <w:tblPr>
        <w:tblW w:w="5000" w:type="pct"/>
        <w:jc w:val="left"/>
        <w:tblInd w:w="-856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1" w:lastRow="0" w:firstColumn="1" w:lastColumn="0" w:noHBand="0" w:val="04a0"/>
      </w:tblPr>
      <w:tblGrid>
        <w:gridCol w:w="759"/>
        <w:gridCol w:w="554"/>
        <w:gridCol w:w="554"/>
        <w:gridCol w:w="555"/>
        <w:gridCol w:w="552"/>
        <w:gridCol w:w="554"/>
        <w:gridCol w:w="555"/>
        <w:gridCol w:w="552"/>
        <w:gridCol w:w="555"/>
        <w:gridCol w:w="551"/>
        <w:gridCol w:w="554"/>
        <w:gridCol w:w="554"/>
        <w:gridCol w:w="552"/>
        <w:gridCol w:w="554"/>
        <w:gridCol w:w="552"/>
        <w:gridCol w:w="562"/>
      </w:tblGrid>
      <w:tr>
        <w:trPr>
          <w:trHeight w:val="1912" w:hRule="atLeast"/>
          <w:cantSplit w:val="true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Rodzice lub społeczność mogą decydować o małżeństwie swoich dzieci.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Przyjaźń między mężem i żoną jest bardzo ważna w małżeństwie.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sobie całkowicie wierni.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Więź seksualna jest bardzo ważna w małżeństwie.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Kobieta w małżeństwie ma niższą pozycję od mężczyzny.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Podstawą małżeństwa jest miłość męża i żony.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Małżeństwem jest jedynie związek jednej kobiety i jednego mężczyzny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być wobec siebie uczciwi.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Małżonkowie powinni się nawzajem szanować.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powinno być zawarte w Kościele.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Tylko dzięki Bożej łasce działającej w sakramentach małżeństwo może być udane.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W pewnych sytuacjach można lub trzeba zastosować przemoc wobec współmałżonka.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Małżeństwo zawiera się na całe życie.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Mąż i żona powinni modlić się razem.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textDirection w:val="btL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cs="Times New Roman"/>
                <w:color w:val="000000"/>
                <w:sz w:val="22"/>
              </w:rPr>
              <w:t xml:space="preserve">Opinie na temat małżeństwa - </w:t>
            </w:r>
            <w:r>
              <w:rPr>
                <w:rFonts w:cs="Times New Roman"/>
                <w:color w:val="000000"/>
                <w:sz w:val="20"/>
                <w:szCs w:val="20"/>
              </w:rPr>
              <w:t>Wynik sumaryczny</w:t>
            </w:r>
          </w:p>
        </w:tc>
      </w:tr>
      <w:tr>
        <w:trPr>
          <w:trHeight w:val="423" w:hRule="atLeast"/>
          <w:cantSplit w:val="true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widowControl w:val="false"/>
              <w:spacing w:lineRule="auto" w:line="240" w:before="0" w:after="0"/>
              <w:ind w:left="113" w:right="113" w:hanging="0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eastAsia="Times New Roman" w:cs="Times New Roman"/>
                <w:sz w:val="18"/>
                <w:szCs w:val="18"/>
                <w:lang w:eastAsia="pl-PL"/>
              </w:rPr>
              <w:t>Rodzina z obojgiem rodziców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0,29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0,21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0,08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0,23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0,21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</w:tr>
      <w:tr>
        <w:trPr>
          <w:trHeight w:val="340" w:hRule="atLeast"/>
        </w:trPr>
        <w:tc>
          <w:tcPr>
            <w:tcW w:w="9069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Inne sytuacje rodzinne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Zainteresowanie problematyką religijną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0,22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-0,29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-0,06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Przekonania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0,32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Modlitwa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-0,24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-0,30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-0,13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-0,14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Doświadczenie religijne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0,35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-0,07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0,27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0,06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0,14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0,17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Kult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-0,50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-0,29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FF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-0,02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-0,12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-0,36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-0,30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-0,21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-0,16</w:t>
            </w:r>
          </w:p>
        </w:tc>
      </w:tr>
      <w:tr>
        <w:trPr>
          <w:trHeight w:val="340" w:hRule="atLeast"/>
        </w:trPr>
        <w:tc>
          <w:tcPr>
            <w:tcW w:w="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  <w:t>Centralność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0,19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FF0000"/>
                <w:sz w:val="20"/>
                <w:szCs w:val="20"/>
              </w:rPr>
              <w:t>-0,29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-0,01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-0,03</w:t>
            </w:r>
          </w:p>
        </w:tc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-0,25</w:t>
            </w:r>
          </w:p>
        </w:tc>
        <w:tc>
          <w:tcPr>
            <w:tcW w:w="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-0,10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-0,11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-0,08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-0,05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hanging="0"/>
              <w:jc w:val="center"/>
              <w:rPr>
                <w:rFonts w:eastAsia="Times New Roman" w:cs="Times New Roman"/>
                <w:color w:val="FF0000"/>
                <w:sz w:val="20"/>
                <w:szCs w:val="20"/>
                <w:lang w:eastAsia="pl-PL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-0,04</w:t>
            </w:r>
          </w:p>
        </w:tc>
      </w:tr>
    </w:tbl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r- wskaźnik korelacji, wyniki oznaczone na czerwono p&lt;0,05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>N=156, 100%</w:t>
      </w:r>
    </w:p>
    <w:p>
      <w:pPr>
        <w:pStyle w:val="NoSpacing"/>
        <w:jc w:val="left"/>
        <w:rPr>
          <w:rFonts w:cs="Times New Roman"/>
        </w:rPr>
      </w:pPr>
      <w:r>
        <w:rPr>
          <w:rFonts w:cs="Times New Roman"/>
        </w:rPr>
        <w:t xml:space="preserve">Test korelacji rang Spearmana </w:t>
      </w:r>
    </w:p>
    <w:sectPr>
      <w:footerReference w:type="default" r:id="rId3"/>
      <w:type w:val="nextPage"/>
      <w:pgSz w:w="11906" w:h="16838"/>
      <w:pgMar w:left="1417" w:right="1417" w:gutter="0" w:header="0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libri Light">
    <w:charset w:val="ee"/>
    <w:family w:val="roman"/>
    <w:pitch w:val="variable"/>
  </w:font>
  <w:font w:name="Tahoma">
    <w:charset w:val="ee"/>
    <w:family w:val="roman"/>
    <w:pitch w:val="variable"/>
  </w:font>
  <w:font w:name="TimesNewRomanPSMT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378934206"/>
    </w:sdtPr>
    <w:sdtContent>
      <w:p>
        <w:pPr>
          <w:pStyle w:val="Stopk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486238407"/>
    </w:sdtPr>
    <w:sdtContent>
      <w:p>
        <w:pPr>
          <w:pStyle w:val="Stopk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15</w:t>
        </w:r>
        <w:r>
          <w:rPr/>
          <w:fldChar w:fldCharType="end"/>
        </w:r>
      </w:p>
    </w:sdtContent>
  </w:sdt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4"/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  <w:sz w:val="28"/>
        <w:b/>
      </w:rPr>
    </w:lvl>
    <w:lvl w:ilvl="1">
      <w:start w:val="1"/>
      <w:pStyle w:val="Nagwek2"/>
      <w:numFmt w:val="decimal"/>
      <w:lvlText w:val="%1.%2."/>
      <w:lvlJc w:val="left"/>
      <w:pPr>
        <w:tabs>
          <w:tab w:val="num" w:pos="0"/>
        </w:tabs>
        <w:ind w:left="792" w:hanging="432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8"/>
        <w:sz w:val="28"/>
        <w:spacing w:val="0"/>
        <w:i w:val="false"/>
        <w:shadow w:val="false"/>
        <w:u w:val="none"/>
        <w:b w:val="false"/>
        <w:kern w:val="0"/>
        <w:effect w:val="none"/>
        <w:iCs w:val="false"/>
        <w:bCs/>
        <w:em w:val="none"/>
        <w:emboss w:val="false"/>
        <w:imprint w:val="false"/>
        <w:vanish w:val="false"/>
        <w:rFonts w:ascii="Times New Roman" w:hAnsi="Times New Roman"/>
        <w14:cntxtAlts w14:val="0"/>
        <w14:glow w14:rad="0">
          <w14:srgbClr w14:val="000000"/>
        </w14:glow>
        <w14:ligatures w14:val="none"/>
        <w14:numForm w14:val="default"/>
        <w14:numSpacing w14:val="default"/>
        <w14:props3d w14:extrusionH="0" w14:contourW="0" w14:prstMaterial="none"/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shadow w14:blurRad="0" w14:dist="0" w14:dir="0" w14:sx="0" w14:sy="0" w14:kx="0" w14:ky="0" w14:algn="none">
          <w14:srgbClr w14:val="000000"/>
        </w14:shadow>
        <w14:stylisticSets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pStyle w:val="Nagwek3"/>
      <w:numFmt w:val="decimal"/>
      <w:lvlText w:val="%1.%2.%3."/>
      <w:lvlJc w:val="left"/>
      <w:pPr>
        <w:tabs>
          <w:tab w:val="num" w:pos="0"/>
        </w:tabs>
        <w:ind w:left="1497" w:hanging="504"/>
      </w:pPr>
      <w:rPr>
        <w:sz w:val="24"/>
        <w:rFonts w:ascii="Times New Roman" w:hAnsi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  <w:sz w:val="28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28"/>
        <w:sz w:val="28"/>
        <w:spacing w:val="0"/>
        <w:i w:val="false"/>
        <w:shadow w:val="false"/>
        <w:u w:val="none"/>
        <w:b w:val="false"/>
        <w:kern w:val="0"/>
        <w:effect w:val="none"/>
        <w:iCs w:val="false"/>
        <w:bCs/>
        <w:em w:val="none"/>
        <w:emboss w:val="false"/>
        <w:imprint w:val="false"/>
        <w:vanish w:val="false"/>
        <w:rFonts w:ascii="Times New Roman" w:hAnsi="Times New Roman"/>
        <w14:cntxtAlts w14:val="0"/>
        <w14:glow w14:rad="0">
          <w14:srgbClr w14:val="000000"/>
        </w14:glow>
        <w14:ligatures w14:val="none"/>
        <w14:numForm w14:val="default"/>
        <w14:numSpacing w14:val="default"/>
        <w14:props3d w14:extrusionH="0" w14:contourW="0" w14:prstMaterial="none"/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shadow w14:blurRad="0" w14:dist="0" w14:dir="0" w14:sx="0" w14:sy="0" w14:kx="0" w14:ky="0" w14:algn="none">
          <w14:srgbClr w14:val="000000"/>
        </w14:shadow>
        <w14:stylisticSets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97" w:hanging="504"/>
      </w:pPr>
      <w:rPr>
        <w:sz w:val="24"/>
        <w:rFonts w:ascii="Times New Roman" w:hAnsi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 w:qFormat="1"/>
    <w:lsdException w:name="toc 2" w:uiPriority="39" w:semiHidden="1" w:unhideWhenUsed="1" w:qFormat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b1156"/>
    <w:pPr>
      <w:widowControl/>
      <w:suppressAutoHyphens w:val="true"/>
      <w:bidi w:val="0"/>
      <w:spacing w:lineRule="auto" w:line="360" w:before="0" w:after="120"/>
      <w:ind w:firstLine="709"/>
      <w:jc w:val="both"/>
    </w:pPr>
    <w:rPr>
      <w:rFonts w:ascii="Times New Roman" w:hAnsi="Times New Roman" w:eastAsia="Calibri" w:cs="" w:cstheme="minorBidi" w:eastAsiaTheme="minorHAnsi"/>
      <w:color w:val="auto"/>
      <w:kern w:val="0"/>
      <w:sz w:val="24"/>
      <w:szCs w:val="22"/>
      <w:lang w:val="pl-PL" w:eastAsia="en-US" w:bidi="ar-SA"/>
    </w:rPr>
  </w:style>
  <w:style w:type="paragraph" w:styleId="Nagwek1">
    <w:name w:val="Heading 1"/>
    <w:basedOn w:val="Normal"/>
    <w:next w:val="Normal"/>
    <w:link w:val="Nagwek1Znak"/>
    <w:uiPriority w:val="9"/>
    <w:qFormat/>
    <w:rsid w:val="003b1156"/>
    <w:pPr>
      <w:keepNext w:val="true"/>
      <w:keepLines/>
      <w:numPr>
        <w:ilvl w:val="0"/>
        <w:numId w:val="2"/>
      </w:numPr>
      <w:spacing w:before="240" w:after="240"/>
      <w:jc w:val="center"/>
    </w:pPr>
    <w:rPr>
      <w:rFonts w:eastAsia="" w:cs="" w:cstheme="majorBidi" w:eastAsiaTheme="majorEastAsia"/>
      <w:b/>
      <w:bCs/>
      <w:caps/>
      <w:sz w:val="28"/>
      <w:szCs w:val="28"/>
    </w:rPr>
  </w:style>
  <w:style w:type="paragraph" w:styleId="Nagwek2">
    <w:name w:val="Heading 2"/>
    <w:basedOn w:val="Normal"/>
    <w:next w:val="Normal"/>
    <w:link w:val="Nagwek2Znak"/>
    <w:uiPriority w:val="9"/>
    <w:unhideWhenUsed/>
    <w:qFormat/>
    <w:rsid w:val="003b1156"/>
    <w:pPr>
      <w:keepNext w:val="true"/>
      <w:keepLines/>
      <w:numPr>
        <w:ilvl w:val="1"/>
        <w:numId w:val="1"/>
      </w:numPr>
      <w:spacing w:before="360" w:after="120"/>
      <w:ind w:left="788" w:hanging="431"/>
      <w:outlineLvl w:val="1"/>
    </w:pPr>
    <w:rPr>
      <w:rFonts w:eastAsia="" w:cs="" w:cstheme="majorBidi" w:eastAsiaTheme="majorEastAsia"/>
      <w:b/>
      <w:bCs/>
      <w:sz w:val="26"/>
      <w:szCs w:val="26"/>
    </w:rPr>
  </w:style>
  <w:style w:type="paragraph" w:styleId="Nagwek3">
    <w:name w:val="Heading 3"/>
    <w:basedOn w:val="Normal"/>
    <w:next w:val="Normal"/>
    <w:link w:val="Nagwek3Znak"/>
    <w:uiPriority w:val="9"/>
    <w:unhideWhenUsed/>
    <w:qFormat/>
    <w:rsid w:val="003b1156"/>
    <w:pPr>
      <w:keepNext w:val="true"/>
      <w:keepLines/>
      <w:numPr>
        <w:ilvl w:val="2"/>
        <w:numId w:val="1"/>
      </w:numPr>
      <w:spacing w:before="240" w:after="120"/>
      <w:outlineLvl w:val="2"/>
    </w:pPr>
    <w:rPr>
      <w:rFonts w:eastAsia="" w:cs="" w:cstheme="majorBidi" w:eastAsiaTheme="majorEastAsia"/>
      <w:b/>
      <w:bCs/>
      <w:szCs w:val="20"/>
    </w:rPr>
  </w:style>
  <w:style w:type="paragraph" w:styleId="Nagwek4">
    <w:name w:val="Heading 4"/>
    <w:basedOn w:val="Normal"/>
    <w:next w:val="Normal"/>
    <w:link w:val="Nagwek4Znak"/>
    <w:autoRedefine/>
    <w:uiPriority w:val="9"/>
    <w:unhideWhenUsed/>
    <w:qFormat/>
    <w:rsid w:val="003b1156"/>
    <w:pPr>
      <w:keepNext w:val="true"/>
      <w:numPr>
        <w:ilvl w:val="0"/>
        <w:numId w:val="1"/>
      </w:numPr>
      <w:outlineLvl w:val="0"/>
    </w:pPr>
    <w:rPr>
      <w:rFonts w:eastAsia="Times New Roman"/>
      <w:b/>
      <w:bCs/>
      <w:szCs w:val="28"/>
    </w:rPr>
  </w:style>
  <w:style w:type="paragraph" w:styleId="Nagwek5">
    <w:name w:val="Heading 5"/>
    <w:basedOn w:val="Normal"/>
    <w:next w:val="Normal"/>
    <w:link w:val="Nagwek5Znak"/>
    <w:uiPriority w:val="9"/>
    <w:unhideWhenUsed/>
    <w:qFormat/>
    <w:rsid w:val="003b1156"/>
    <w:pPr>
      <w:keepNext w:val="true"/>
      <w:keepLines/>
      <w:spacing w:before="200" w:after="0"/>
      <w:ind w:left="2232" w:hanging="792"/>
      <w:outlineLvl w:val="4"/>
    </w:pPr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</w:rPr>
  </w:style>
  <w:style w:type="paragraph" w:styleId="Nagwek6">
    <w:name w:val="Heading 6"/>
    <w:basedOn w:val="Normal"/>
    <w:next w:val="Normal"/>
    <w:link w:val="Nagwek6Znak"/>
    <w:uiPriority w:val="9"/>
    <w:semiHidden/>
    <w:unhideWhenUsed/>
    <w:qFormat/>
    <w:rsid w:val="003b1156"/>
    <w:pPr>
      <w:keepNext w:val="true"/>
      <w:keepLines/>
      <w:spacing w:before="200" w:after="0"/>
      <w:outlineLvl w:val="5"/>
    </w:pPr>
    <w:rPr>
      <w:rFonts w:ascii="Calibri Light" w:hAnsi="Calibri Light" w:eastAsia="" w:cs="" w:asciiTheme="majorHAnsi" w:cstheme="majorBidi" w:eastAsiaTheme="majorEastAsia" w:hAnsiTheme="majorHAnsi"/>
      <w:i/>
      <w:iCs/>
      <w:color w:val="1F3763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link w:val="Nagwek1"/>
    <w:uiPriority w:val="9"/>
    <w:qFormat/>
    <w:rsid w:val="003b1156"/>
    <w:rPr>
      <w:rFonts w:ascii="Times New Roman" w:hAnsi="Times New Roman" w:eastAsia="" w:cs="" w:cstheme="majorBidi" w:eastAsiaTheme="majorEastAsia"/>
      <w:b/>
      <w:bCs/>
      <w:caps/>
      <w:sz w:val="28"/>
      <w:szCs w:val="28"/>
    </w:rPr>
  </w:style>
  <w:style w:type="character" w:styleId="Nagwek2Znak" w:customStyle="1">
    <w:name w:val="Nagłówek 2 Znak"/>
    <w:basedOn w:val="DefaultParagraphFont"/>
    <w:link w:val="Nagwek2"/>
    <w:uiPriority w:val="9"/>
    <w:qFormat/>
    <w:rsid w:val="003b1156"/>
    <w:rPr>
      <w:rFonts w:ascii="Times New Roman" w:hAnsi="Times New Roman" w:eastAsia="" w:cs="" w:cstheme="majorBidi" w:eastAsiaTheme="majorEastAsia"/>
      <w:b/>
      <w:bCs/>
      <w:sz w:val="26"/>
      <w:szCs w:val="26"/>
    </w:rPr>
  </w:style>
  <w:style w:type="character" w:styleId="Nagwek3Znak" w:customStyle="1">
    <w:name w:val="Nagłówek 3 Znak"/>
    <w:basedOn w:val="DefaultParagraphFont"/>
    <w:link w:val="Nagwek3"/>
    <w:uiPriority w:val="9"/>
    <w:qFormat/>
    <w:rsid w:val="003b1156"/>
    <w:rPr>
      <w:rFonts w:ascii="Times New Roman" w:hAnsi="Times New Roman" w:eastAsia="" w:cs="" w:cstheme="majorBidi" w:eastAsiaTheme="majorEastAsia"/>
      <w:b/>
      <w:bCs/>
      <w:sz w:val="24"/>
      <w:szCs w:val="20"/>
    </w:rPr>
  </w:style>
  <w:style w:type="character" w:styleId="Nagwek4Znak" w:customStyle="1">
    <w:name w:val="Nagłówek 4 Znak"/>
    <w:basedOn w:val="DefaultParagraphFont"/>
    <w:link w:val="Nagwek4"/>
    <w:uiPriority w:val="9"/>
    <w:qFormat/>
    <w:rsid w:val="003b1156"/>
    <w:rPr>
      <w:rFonts w:ascii="Times New Roman" w:hAnsi="Times New Roman" w:eastAsia="Times New Roman"/>
      <w:b/>
      <w:bCs/>
      <w:sz w:val="24"/>
      <w:szCs w:val="28"/>
    </w:rPr>
  </w:style>
  <w:style w:type="character" w:styleId="Nagwek5Znak" w:customStyle="1">
    <w:name w:val="Nagłówek 5 Znak"/>
    <w:basedOn w:val="DefaultParagraphFont"/>
    <w:link w:val="Nagwek5"/>
    <w:uiPriority w:val="9"/>
    <w:qFormat/>
    <w:rsid w:val="003b1156"/>
    <w:rPr>
      <w:rFonts w:ascii="Calibri Light" w:hAnsi="Calibri Light" w:eastAsia="" w:cs="" w:asciiTheme="majorHAnsi" w:cstheme="majorBidi" w:eastAsiaTheme="majorEastAsia" w:hAnsiTheme="majorHAnsi"/>
      <w:color w:val="1F3763" w:themeColor="accent1" w:themeShade="7f"/>
      <w:sz w:val="24"/>
    </w:rPr>
  </w:style>
  <w:style w:type="character" w:styleId="Nagwek6Znak" w:customStyle="1">
    <w:name w:val="Nagłówek 6 Znak"/>
    <w:basedOn w:val="DefaultParagraphFont"/>
    <w:link w:val="Nagwek6"/>
    <w:uiPriority w:val="9"/>
    <w:semiHidden/>
    <w:qFormat/>
    <w:rsid w:val="003b1156"/>
    <w:rPr>
      <w:rFonts w:ascii="Calibri Light" w:hAnsi="Calibri Light" w:eastAsia="" w:cs="" w:asciiTheme="majorHAnsi" w:cstheme="majorBidi" w:eastAsiaTheme="majorEastAsia" w:hAnsiTheme="majorHAnsi"/>
      <w:i/>
      <w:iCs/>
      <w:color w:val="1F3763" w:themeColor="accent1" w:themeShade="7f"/>
      <w:sz w:val="24"/>
    </w:rPr>
  </w:style>
  <w:style w:type="character" w:styleId="TekstpodstawowyZnak" w:customStyle="1">
    <w:name w:val="Tekst podstawowy Znak"/>
    <w:basedOn w:val="DefaultParagraphFont"/>
    <w:link w:val="Tekstpodstawowy"/>
    <w:qFormat/>
    <w:rsid w:val="003b1156"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StopkaZnak" w:customStyle="1">
    <w:name w:val="Stopka Znak"/>
    <w:basedOn w:val="DefaultParagraphFont"/>
    <w:link w:val="Stopka"/>
    <w:uiPriority w:val="99"/>
    <w:qFormat/>
    <w:rsid w:val="003b1156"/>
    <w:rPr>
      <w:rFonts w:ascii="Times New Roman" w:hAnsi="Times New Roman"/>
      <w:sz w:val="24"/>
    </w:rPr>
  </w:style>
  <w:style w:type="character" w:styleId="Czeinternetowe">
    <w:name w:val="Łącze internetowe"/>
    <w:basedOn w:val="DefaultParagraphFont"/>
    <w:uiPriority w:val="99"/>
    <w:unhideWhenUsed/>
    <w:rsid w:val="003b1156"/>
    <w:rPr>
      <w:color w:val="0563C1" w:themeColor="hyperlink"/>
      <w:u w:val="single"/>
    </w:rPr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3b1156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3b1156"/>
    <w:rPr>
      <w:rFonts w:ascii="Times New Roman" w:hAnsi="Times New Roman"/>
      <w:b/>
      <w:bCs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3b1156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Tekstkomentarza"/>
    <w:uiPriority w:val="99"/>
    <w:semiHidden/>
    <w:qFormat/>
    <w:rsid w:val="003b1156"/>
    <w:rPr>
      <w:rFonts w:ascii="Times New Roman" w:hAnsi="Times New Roman"/>
      <w:sz w:val="20"/>
      <w:szCs w:val="20"/>
    </w:rPr>
  </w:style>
  <w:style w:type="character" w:styleId="TematkomentarzaZnak" w:customStyle="1">
    <w:name w:val="Temat komentarza Znak"/>
    <w:basedOn w:val="TekstkomentarzaZnak"/>
    <w:link w:val="Tematkomentarza"/>
    <w:uiPriority w:val="99"/>
    <w:semiHidden/>
    <w:qFormat/>
    <w:rsid w:val="003b1156"/>
    <w:rPr>
      <w:rFonts w:ascii="Times New Roman" w:hAnsi="Times New Roman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3b1156"/>
    <w:rPr>
      <w:color w:val="605E5C"/>
      <w:shd w:fill="E1DFDD" w:val="clear"/>
    </w:rPr>
  </w:style>
  <w:style w:type="character" w:styleId="Zakotwiczenieprzypisudolnego">
    <w:name w:val="Zakotwiczenie przypisu dolnego"/>
    <w:rPr>
      <w:vertAlign w:val="superscript"/>
    </w:rPr>
  </w:style>
  <w:style w:type="character" w:styleId="FootnoteCharacters">
    <w:name w:val="Footnote Characters"/>
    <w:basedOn w:val="DefaultParagraphFont"/>
    <w:qFormat/>
    <w:rsid w:val="003b1156"/>
    <w:rPr>
      <w:vertAlign w:val="superscript"/>
    </w:rPr>
  </w:style>
  <w:style w:type="character" w:styleId="TekstprzypisudolnegoZnak" w:customStyle="1">
    <w:name w:val="Tekst przypisu dolnego Znak"/>
    <w:basedOn w:val="DefaultParagraphFont"/>
    <w:link w:val="Tekstprzypisudolnego"/>
    <w:uiPriority w:val="99"/>
    <w:qFormat/>
    <w:rsid w:val="003b1156"/>
    <w:rPr>
      <w:rFonts w:eastAsia="" w:eastAsiaTheme="minorEastAsia"/>
      <w:sz w:val="20"/>
      <w:szCs w:val="20"/>
      <w:lang w:eastAsia="pl-PL"/>
    </w:rPr>
  </w:style>
  <w:style w:type="character" w:styleId="NagwekZnak" w:customStyle="1">
    <w:name w:val="Nagłówek Znak"/>
    <w:basedOn w:val="DefaultParagraphFont"/>
    <w:link w:val="Nagwek"/>
    <w:qFormat/>
    <w:rsid w:val="003b1156"/>
    <w:rPr>
      <w:rFonts w:eastAsia="" w:eastAsiaTheme="minorEastAsia"/>
      <w:lang w:eastAsia="pl-PL"/>
    </w:rPr>
  </w:style>
  <w:style w:type="character" w:styleId="TekstprzypisukocowegoZnak" w:customStyle="1">
    <w:name w:val="Tekst przypisu końcowego Znak"/>
    <w:basedOn w:val="DefaultParagraphFont"/>
    <w:link w:val="Tekstprzypisukocowego"/>
    <w:uiPriority w:val="99"/>
    <w:semiHidden/>
    <w:qFormat/>
    <w:rsid w:val="003b1156"/>
    <w:rPr>
      <w:sz w:val="20"/>
      <w:szCs w:val="20"/>
    </w:rPr>
  </w:style>
  <w:style w:type="character" w:styleId="TekstprzypisukocowegoZnak1" w:customStyle="1">
    <w:name w:val="Tekst przypisu końcowego Znak1"/>
    <w:basedOn w:val="DefaultParagraphFont"/>
    <w:uiPriority w:val="99"/>
    <w:semiHidden/>
    <w:qFormat/>
    <w:rsid w:val="003b1156"/>
    <w:rPr>
      <w:rFonts w:ascii="Times New Roman" w:hAnsi="Times New Roman"/>
      <w:sz w:val="20"/>
      <w:szCs w:val="20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3b1156"/>
    <w:rPr>
      <w:vertAlign w:val="superscript"/>
    </w:rPr>
  </w:style>
  <w:style w:type="character" w:styleId="Highlight" w:customStyle="1">
    <w:name w:val="highlight"/>
    <w:basedOn w:val="DefaultParagraphFont"/>
    <w:qFormat/>
    <w:rsid w:val="003b1156"/>
    <w:rPr/>
  </w:style>
  <w:style w:type="character" w:styleId="Additionalfields" w:customStyle="1">
    <w:name w:val="additionalfields"/>
    <w:basedOn w:val="DefaultParagraphFont"/>
    <w:qFormat/>
    <w:rsid w:val="003b1156"/>
    <w:rPr/>
  </w:style>
  <w:style w:type="character" w:styleId="Wyrnienie">
    <w:name w:val="Wyróżnienie"/>
    <w:uiPriority w:val="20"/>
    <w:qFormat/>
    <w:rsid w:val="003b1156"/>
    <w:rPr>
      <w:i/>
      <w:iCs/>
    </w:rPr>
  </w:style>
  <w:style w:type="character" w:styleId="Fontstyle01" w:customStyle="1">
    <w:name w:val="fontstyle01"/>
    <w:basedOn w:val="DefaultParagraphFont"/>
    <w:qFormat/>
    <w:rsid w:val="003b1156"/>
    <w:rPr>
      <w:rFonts w:ascii="TimesNewRomanPSMT" w:hAnsi="TimesNewRomanPSMT"/>
      <w:b w:val="false"/>
      <w:bCs w:val="false"/>
      <w:i w:val="false"/>
      <w:iCs w:val="false"/>
      <w:color w:val="000000"/>
      <w:sz w:val="22"/>
      <w:szCs w:val="22"/>
    </w:rPr>
  </w:style>
  <w:style w:type="character" w:styleId="Odwiedzoneczeinternetowe">
    <w:name w:val="Odwiedzone łącze internetowe"/>
    <w:basedOn w:val="DefaultParagraphFont"/>
    <w:uiPriority w:val="99"/>
    <w:semiHidden/>
    <w:unhideWhenUsed/>
    <w:rsid w:val="003b1156"/>
    <w:rPr>
      <w:color w:val="1155CC"/>
      <w:u w:val="single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link w:val="TekstpodstawowyZnak"/>
    <w:unhideWhenUsed/>
    <w:rsid w:val="003b1156"/>
    <w:pPr>
      <w:spacing w:lineRule="auto" w:line="240" w:before="0" w:after="0"/>
      <w:ind w:hanging="0"/>
    </w:pPr>
    <w:rPr>
      <w:rFonts w:eastAsia="Times New Roman" w:cs="Times New Roman"/>
      <w:szCs w:val="24"/>
      <w:lang w:eastAsia="pl-PL"/>
    </w:rPr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3b1156"/>
    <w:pPr>
      <w:widowControl/>
      <w:suppressAutoHyphens w:val="true"/>
      <w:bidi w:val="0"/>
      <w:spacing w:lineRule="auto" w:line="240" w:before="0" w:after="0"/>
      <w:jc w:val="center"/>
    </w:pPr>
    <w:rPr>
      <w:rFonts w:ascii="Times New Roman" w:hAnsi="Times New Roman" w:eastAsia="Calibri" w:cs="" w:cstheme="minorBidi" w:eastAsiaTheme="minorHAnsi"/>
      <w:color w:val="auto"/>
      <w:kern w:val="0"/>
      <w:sz w:val="20"/>
      <w:szCs w:val="22"/>
      <w:lang w:val="pl-PL" w:eastAsia="en-US" w:bidi="ar-SA"/>
    </w:rPr>
  </w:style>
  <w:style w:type="paragraph" w:styleId="Gwkaistopka">
    <w:name w:val="Główka i stopka"/>
    <w:basedOn w:val="Normal"/>
    <w:qFormat/>
    <w:pPr/>
    <w:rPr/>
  </w:style>
  <w:style w:type="paragraph" w:styleId="Stopka">
    <w:name w:val="Footer"/>
    <w:basedOn w:val="Normal"/>
    <w:link w:val="StopkaZnak"/>
    <w:uiPriority w:val="99"/>
    <w:unhideWhenUsed/>
    <w:rsid w:val="003b115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Caption">
    <w:name w:val="caption"/>
    <w:basedOn w:val="Normal"/>
    <w:next w:val="Normal"/>
    <w:uiPriority w:val="35"/>
    <w:unhideWhenUsed/>
    <w:qFormat/>
    <w:rsid w:val="003b1156"/>
    <w:pPr>
      <w:tabs>
        <w:tab w:val="clear" w:pos="708"/>
        <w:tab w:val="left" w:pos="1134" w:leader="none"/>
      </w:tabs>
      <w:spacing w:lineRule="auto" w:line="240" w:before="120" w:after="120"/>
      <w:ind w:left="1134" w:hanging="1134"/>
    </w:pPr>
    <w:rPr>
      <w:bCs/>
      <w:szCs w:val="18"/>
    </w:rPr>
  </w:style>
  <w:style w:type="paragraph" w:styleId="Spistreci1">
    <w:name w:val="TOC 1"/>
    <w:basedOn w:val="Normal"/>
    <w:next w:val="Normal"/>
    <w:autoRedefine/>
    <w:uiPriority w:val="39"/>
    <w:unhideWhenUsed/>
    <w:qFormat/>
    <w:rsid w:val="003b1156"/>
    <w:pPr>
      <w:tabs>
        <w:tab w:val="clear" w:pos="708"/>
        <w:tab w:val="left" w:pos="2268" w:leader="none"/>
        <w:tab w:val="right" w:pos="8505" w:leader="dot"/>
      </w:tabs>
      <w:spacing w:lineRule="auto" w:line="240" w:before="240" w:after="0"/>
      <w:ind w:left="2268" w:hanging="1559"/>
    </w:pPr>
    <w:rPr>
      <w:b/>
      <w:sz w:val="26"/>
    </w:rPr>
  </w:style>
  <w:style w:type="paragraph" w:styleId="Spistreci2">
    <w:name w:val="TOC 2"/>
    <w:basedOn w:val="Normal"/>
    <w:next w:val="Normal"/>
    <w:autoRedefine/>
    <w:uiPriority w:val="39"/>
    <w:unhideWhenUsed/>
    <w:qFormat/>
    <w:rsid w:val="003b1156"/>
    <w:pPr>
      <w:tabs>
        <w:tab w:val="clear" w:pos="708"/>
        <w:tab w:val="left" w:pos="1843" w:leader="none"/>
        <w:tab w:val="right" w:pos="8505" w:leader="dot"/>
      </w:tabs>
      <w:spacing w:lineRule="auto" w:line="240" w:before="120" w:after="120"/>
      <w:ind w:left="1843" w:hanging="913"/>
      <w:jc w:val="left"/>
    </w:pPr>
    <w:rPr/>
  </w:style>
  <w:style w:type="paragraph" w:styleId="Nagwekindeksu">
    <w:name w:val="Index Heading"/>
    <w:basedOn w:val="Nagwek"/>
    <w:pPr/>
    <w:rPr/>
  </w:style>
  <w:style w:type="paragraph" w:styleId="Nagwekspisutreci">
    <w:name w:val="TOC Heading"/>
    <w:basedOn w:val="Nagwek1"/>
    <w:next w:val="Normal"/>
    <w:uiPriority w:val="39"/>
    <w:unhideWhenUsed/>
    <w:qFormat/>
    <w:rsid w:val="003b1156"/>
    <w:pPr>
      <w:numPr>
        <w:ilvl w:val="0"/>
        <w:numId w:val="0"/>
      </w:numPr>
      <w:ind w:firstLine="709"/>
    </w:pPr>
    <w:rPr>
      <w:lang w:eastAsia="pl-PL"/>
    </w:rPr>
  </w:style>
  <w:style w:type="paragraph" w:styleId="Tableoffigures">
    <w:name w:val="table of figures"/>
    <w:basedOn w:val="Normal"/>
    <w:next w:val="Normal"/>
    <w:uiPriority w:val="99"/>
    <w:unhideWhenUsed/>
    <w:qFormat/>
    <w:rsid w:val="003b1156"/>
    <w:pPr>
      <w:tabs>
        <w:tab w:val="clear" w:pos="708"/>
        <w:tab w:val="left" w:pos="1276" w:leader="none"/>
        <w:tab w:val="right" w:pos="9639" w:leader="dot"/>
      </w:tabs>
      <w:ind w:left="1276" w:hanging="1276"/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3b115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pistreci3">
    <w:name w:val="TOC 3"/>
    <w:basedOn w:val="Normal"/>
    <w:next w:val="Normal"/>
    <w:autoRedefine/>
    <w:uiPriority w:val="39"/>
    <w:unhideWhenUsed/>
    <w:rsid w:val="003b1156"/>
    <w:pPr>
      <w:tabs>
        <w:tab w:val="clear" w:pos="708"/>
        <w:tab w:val="left" w:pos="1843" w:leader="none"/>
        <w:tab w:val="right" w:pos="8493" w:leader="dot"/>
      </w:tabs>
      <w:spacing w:before="0" w:after="100"/>
      <w:ind w:left="1843" w:hanging="654"/>
    </w:pPr>
    <w:rPr/>
  </w:style>
  <w:style w:type="paragraph" w:styleId="ListParagraph">
    <w:name w:val="List Paragraph"/>
    <w:basedOn w:val="Normal"/>
    <w:uiPriority w:val="34"/>
    <w:qFormat/>
    <w:rsid w:val="003b1156"/>
    <w:pPr>
      <w:spacing w:before="0" w:after="120"/>
      <w:ind w:left="720" w:hanging="0"/>
      <w:contextualSpacing/>
    </w:pPr>
    <w:rPr/>
  </w:style>
  <w:style w:type="paragraph" w:styleId="Annotationtext">
    <w:name w:val="annotation text"/>
    <w:basedOn w:val="Normal"/>
    <w:link w:val="TekstkomentarzaZnak"/>
    <w:uiPriority w:val="99"/>
    <w:semiHidden/>
    <w:unhideWhenUsed/>
    <w:qFormat/>
    <w:rsid w:val="003b1156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unhideWhenUsed/>
    <w:qFormat/>
    <w:rsid w:val="003b1156"/>
    <w:pPr/>
    <w:rPr>
      <w:b/>
      <w:bCs/>
    </w:rPr>
  </w:style>
  <w:style w:type="paragraph" w:styleId="Przypisdolny">
    <w:name w:val="Footnote Text"/>
    <w:basedOn w:val="Normal"/>
    <w:link w:val="TekstprzypisudolnegoZnak"/>
    <w:uiPriority w:val="99"/>
    <w:unhideWhenUsed/>
    <w:rsid w:val="003b1156"/>
    <w:pPr>
      <w:spacing w:lineRule="auto" w:line="240" w:before="0" w:after="0"/>
      <w:ind w:hanging="0"/>
      <w:jc w:val="left"/>
    </w:pPr>
    <w:rPr>
      <w:rFonts w:ascii="Calibri" w:hAnsi="Calibri" w:eastAsia="" w:asciiTheme="minorHAnsi" w:eastAsiaTheme="minorEastAsia" w:hAnsiTheme="minorHAnsi"/>
      <w:sz w:val="20"/>
      <w:szCs w:val="20"/>
      <w:lang w:eastAsia="pl-PL"/>
    </w:rPr>
  </w:style>
  <w:style w:type="paragraph" w:styleId="Standard" w:customStyle="1">
    <w:name w:val="Standard"/>
    <w:qFormat/>
    <w:rsid w:val="003b1156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Liberation Serif" w:hAnsi="Liberation Serif" w:eastAsia="SimSun" w:cs="Lucida Sans"/>
      <w:color w:val="auto"/>
      <w:kern w:val="2"/>
      <w:sz w:val="24"/>
      <w:szCs w:val="24"/>
      <w:lang w:val="pl-PL" w:eastAsia="zh-CN" w:bidi="hi-IN"/>
    </w:rPr>
  </w:style>
  <w:style w:type="paragraph" w:styleId="Gwka">
    <w:name w:val="Header"/>
    <w:basedOn w:val="Normal"/>
    <w:link w:val="NagwekZnak"/>
    <w:unhideWhenUsed/>
    <w:rsid w:val="003b1156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  <w:ind w:hanging="0"/>
      <w:jc w:val="left"/>
    </w:pPr>
    <w:rPr>
      <w:rFonts w:ascii="Calibri" w:hAnsi="Calibri" w:eastAsia="" w:asciiTheme="minorHAnsi" w:eastAsiaTheme="minorEastAsia" w:hAnsiTheme="minorHAnsi"/>
      <w:sz w:val="22"/>
      <w:lang w:eastAsia="pl-PL"/>
    </w:rPr>
  </w:style>
  <w:style w:type="paragraph" w:styleId="Przypiskocowy">
    <w:name w:val="Endnote Text"/>
    <w:basedOn w:val="Normal"/>
    <w:link w:val="TekstprzypisukocowegoZnak"/>
    <w:uiPriority w:val="99"/>
    <w:semiHidden/>
    <w:unhideWhenUsed/>
    <w:rsid w:val="003b1156"/>
    <w:pPr>
      <w:spacing w:lineRule="auto" w:line="240" w:before="0" w:after="0"/>
      <w:ind w:hanging="0"/>
      <w:jc w:val="left"/>
    </w:pPr>
    <w:rPr>
      <w:rFonts w:ascii="Calibri" w:hAnsi="Calibri" w:asciiTheme="minorHAnsi" w:hAnsiTheme="minorHAnsi"/>
      <w:sz w:val="20"/>
      <w:szCs w:val="20"/>
    </w:rPr>
  </w:style>
  <w:style w:type="paragraph" w:styleId="NormalWeb">
    <w:name w:val="Normal (Web)"/>
    <w:basedOn w:val="Normal"/>
    <w:uiPriority w:val="99"/>
    <w:unhideWhenUsed/>
    <w:qFormat/>
    <w:rsid w:val="003b1156"/>
    <w:pPr>
      <w:spacing w:lineRule="auto" w:line="240" w:beforeAutospacing="1" w:afterAutospacing="1"/>
      <w:ind w:hanging="0"/>
      <w:jc w:val="left"/>
    </w:pPr>
    <w:rPr>
      <w:rFonts w:eastAsia="Times New Roman" w:cs="Times New Roman"/>
      <w:szCs w:val="24"/>
      <w:lang w:eastAsia="pl-PL"/>
    </w:rPr>
  </w:style>
  <w:style w:type="paragraph" w:styleId="Msonormal" w:customStyle="1">
    <w:name w:val="msonormal"/>
    <w:basedOn w:val="Normal"/>
    <w:qFormat/>
    <w:rsid w:val="003b1156"/>
    <w:pPr>
      <w:spacing w:lineRule="auto" w:line="240" w:beforeAutospacing="1" w:afterAutospacing="1"/>
      <w:ind w:hanging="0"/>
      <w:jc w:val="left"/>
    </w:pPr>
    <w:rPr>
      <w:rFonts w:eastAsia="Times New Roman" w:cs="Times New Roman"/>
      <w:szCs w:val="24"/>
      <w:lang w:eastAsia="pl-PL"/>
    </w:rPr>
  </w:style>
  <w:style w:type="paragraph" w:styleId="Xl65" w:customStyle="1">
    <w:name w:val="xl65"/>
    <w:basedOn w:val="Normal"/>
    <w:qFormat/>
    <w:rsid w:val="003b1156"/>
    <w:pPr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sz w:val="18"/>
      <w:szCs w:val="18"/>
      <w:lang w:eastAsia="pl-PL"/>
    </w:rPr>
  </w:style>
  <w:style w:type="paragraph" w:styleId="Xl66" w:customStyle="1">
    <w:name w:val="xl66"/>
    <w:basedOn w:val="Normal"/>
    <w:qFormat/>
    <w:rsid w:val="003b1156"/>
    <w:pPr>
      <w:spacing w:lineRule="auto" w:line="240" w:beforeAutospacing="1" w:afterAutospacing="1"/>
      <w:ind w:hanging="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Xl67" w:customStyle="1">
    <w:name w:val="xl67"/>
    <w:basedOn w:val="Normal"/>
    <w:qFormat/>
    <w:rsid w:val="003b1156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sz w:val="18"/>
      <w:szCs w:val="18"/>
      <w:lang w:eastAsia="pl-PL"/>
    </w:rPr>
  </w:style>
  <w:style w:type="paragraph" w:styleId="Xl68" w:customStyle="1">
    <w:name w:val="xl68"/>
    <w:basedOn w:val="Normal"/>
    <w:qFormat/>
    <w:rsid w:val="003b1156"/>
    <w:pPr>
      <w:shd w:val="clear" w:color="000000" w:fill="DAF1F3"/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color w:val="000000"/>
      <w:sz w:val="18"/>
      <w:szCs w:val="18"/>
      <w:lang w:eastAsia="pl-PL"/>
    </w:rPr>
  </w:style>
  <w:style w:type="paragraph" w:styleId="Xl69" w:customStyle="1">
    <w:name w:val="xl69"/>
    <w:basedOn w:val="Normal"/>
    <w:qFormat/>
    <w:rsid w:val="003b1156"/>
    <w:pPr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sz w:val="18"/>
      <w:szCs w:val="18"/>
      <w:lang w:eastAsia="pl-PL"/>
    </w:rPr>
  </w:style>
  <w:style w:type="paragraph" w:styleId="Xl70" w:customStyle="1">
    <w:name w:val="xl70"/>
    <w:basedOn w:val="Normal"/>
    <w:qFormat/>
    <w:rsid w:val="003b1156"/>
    <w:pPr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color w:val="000000"/>
      <w:sz w:val="18"/>
      <w:szCs w:val="18"/>
      <w:lang w:eastAsia="pl-PL"/>
    </w:rPr>
  </w:style>
  <w:style w:type="paragraph" w:styleId="Xl71" w:customStyle="1">
    <w:name w:val="xl71"/>
    <w:basedOn w:val="Normal"/>
    <w:qFormat/>
    <w:rsid w:val="003b1156"/>
    <w:pPr>
      <w:shd w:val="clear" w:color="000000" w:fill="FFE1CC"/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color w:val="FF0000"/>
      <w:sz w:val="18"/>
      <w:szCs w:val="18"/>
      <w:lang w:eastAsia="pl-PL"/>
    </w:rPr>
  </w:style>
  <w:style w:type="paragraph" w:styleId="Xl72" w:customStyle="1">
    <w:name w:val="xl72"/>
    <w:basedOn w:val="Normal"/>
    <w:qFormat/>
    <w:rsid w:val="003b1156"/>
    <w:pPr>
      <w:shd w:val="clear" w:color="000000" w:fill="FFE1CC"/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sz w:val="18"/>
      <w:szCs w:val="18"/>
      <w:lang w:eastAsia="pl-PL"/>
    </w:rPr>
  </w:style>
  <w:style w:type="paragraph" w:styleId="Xl73" w:customStyle="1">
    <w:name w:val="xl73"/>
    <w:basedOn w:val="Normal"/>
    <w:qFormat/>
    <w:rsid w:val="003b1156"/>
    <w:pPr>
      <w:shd w:val="clear" w:color="000000" w:fill="D1F1DA"/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sz w:val="18"/>
      <w:szCs w:val="18"/>
      <w:lang w:eastAsia="pl-PL"/>
    </w:rPr>
  </w:style>
  <w:style w:type="paragraph" w:styleId="Xl74" w:customStyle="1">
    <w:name w:val="xl74"/>
    <w:basedOn w:val="Normal"/>
    <w:qFormat/>
    <w:rsid w:val="003b1156"/>
    <w:pPr>
      <w:shd w:val="clear" w:color="000000" w:fill="D1F1DA"/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color w:val="FF0000"/>
      <w:sz w:val="18"/>
      <w:szCs w:val="18"/>
      <w:lang w:eastAsia="pl-PL"/>
    </w:rPr>
  </w:style>
  <w:style w:type="paragraph" w:styleId="Xl75" w:customStyle="1">
    <w:name w:val="xl75"/>
    <w:basedOn w:val="Normal"/>
    <w:qFormat/>
    <w:rsid w:val="003b1156"/>
    <w:pPr>
      <w:shd w:val="clear" w:color="000000" w:fill="FEF2CD"/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sz w:val="18"/>
      <w:szCs w:val="18"/>
      <w:lang w:eastAsia="pl-PL"/>
    </w:rPr>
  </w:style>
  <w:style w:type="paragraph" w:styleId="Xl76" w:customStyle="1">
    <w:name w:val="xl76"/>
    <w:basedOn w:val="Normal"/>
    <w:qFormat/>
    <w:rsid w:val="003b1156"/>
    <w:pPr>
      <w:shd w:val="clear" w:color="000000" w:fill="FEF2CD"/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color w:val="FF0000"/>
      <w:sz w:val="18"/>
      <w:szCs w:val="18"/>
      <w:lang w:eastAsia="pl-PL"/>
    </w:rPr>
  </w:style>
  <w:style w:type="paragraph" w:styleId="Xl77" w:customStyle="1">
    <w:name w:val="xl77"/>
    <w:basedOn w:val="Normal"/>
    <w:qFormat/>
    <w:rsid w:val="003b1156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sz w:val="18"/>
      <w:szCs w:val="18"/>
      <w:lang w:eastAsia="pl-PL"/>
    </w:rPr>
  </w:style>
  <w:style w:type="paragraph" w:styleId="Xl78" w:customStyle="1">
    <w:name w:val="xl78"/>
    <w:basedOn w:val="Normal"/>
    <w:qFormat/>
    <w:rsid w:val="003b1156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sz w:val="18"/>
      <w:szCs w:val="18"/>
      <w:lang w:eastAsia="pl-PL"/>
    </w:rPr>
  </w:style>
  <w:style w:type="paragraph" w:styleId="Xl79" w:customStyle="1">
    <w:name w:val="xl79"/>
    <w:basedOn w:val="Normal"/>
    <w:qFormat/>
    <w:rsid w:val="003b1156"/>
    <w:pPr>
      <w:pBdr>
        <w:right w:val="single" w:sz="4" w:space="0" w:color="000000"/>
      </w:pBdr>
      <w:spacing w:lineRule="auto" w:line="240" w:beforeAutospacing="1" w:afterAutospacing="1"/>
      <w:ind w:hanging="0"/>
      <w:jc w:val="center"/>
      <w:textAlignment w:val="center"/>
    </w:pPr>
    <w:rPr>
      <w:rFonts w:eastAsia="Times New Roman" w:cs="Times New Roman"/>
      <w:sz w:val="18"/>
      <w:szCs w:val="18"/>
      <w:lang w:eastAsia="pl-P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3b115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Siatkatabelijasna1">
    <w:name w:val="Siatka tabeli — jasna1"/>
    <w:basedOn w:val="Standardowy"/>
    <w:uiPriority w:val="40"/>
    <w:rsid w:val="003b1156"/>
    <w:pPr>
      <w:spacing w:after="0" w:line="240" w:lineRule="auto"/>
    </w:pPr>
    <w:rPr>
      <w:rFonts w:eastAsiaTheme="minorEastAsia"/>
      <w:lang w:eastAsia="pl-PL"/>
    </w:rPr>
    <w:tblPr>
      <w:tblBorders>
        <w:top w:val="single" w:color="BFBFBF" w:themeColor="background1" w:sz="4" w:space="0"/>
        <w:left w:val="single" w:color="BFBFBF" w:themeColor="background1" w:sz="4" w:space="0"/>
        <w:bottom w:val="single" w:color="BFBFBF" w:themeColor="background1" w:sz="4" w:space="0"/>
        <w:right w:val="single" w:color="BFBFBF" w:themeColor="background1" w:sz="4" w:space="0"/>
        <w:insideH w:val="single" w:color="BFBFBF" w:themeColor="background1" w:sz="4" w:space="0"/>
        <w:insideV w:val="single" w:color="BFBFBF" w:themeColor="background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DDCD02-56E0-45E8-A79D-AA2479105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Application>LibreOffice/7.2.6.2$Windows_X86_64 LibreOffice_project/b0ec3a565991f7569a5a7f5d24fed7f52653d754</Application>
  <AppVersion>15.0000</AppVersion>
  <Pages>8</Pages>
  <Words>5354</Words>
  <Characters>27183</Characters>
  <CharactersWithSpaces>29450</CharactersWithSpaces>
  <Paragraphs>3123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2022-10-12T16:41:00Z</dcterms:created>
  <dc:creator>Jacek Goleń</dc:creator>
  <dc:description/>
  <cp:keywords>duszpasterstwo duszpasterstwo rodzin religijność seksualność małżeństwo duszpasterstwo rodzin religijność seksualność małżeństwo</cp:keywords>
  <dc:language>pl-PL</dc:language>
  <cp:lastModifiedBy/>
  <dcterms:modified xsi:type="dcterms:W3CDTF">2022-10-13T10:45:25Z</dcterms:modified>
  <cp:revision>3</cp:revision>
  <dc:subject>teologia pastoralna</dc:subject>
  <dc:title>Wyniki badań korelacji między religijnością a rozumieniem seksualności i małżeństwa przez wybraną grupę katolików z Kenii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